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CD3" w:rsidRDefault="005A0EA0" w:rsidP="005A0EA0">
      <w:pPr>
        <w:jc w:val="center"/>
      </w:pPr>
      <w:r>
        <w:rPr>
          <w:noProof/>
          <w:lang w:eastAsia="fr-FR"/>
        </w:rPr>
        <w:drawing>
          <wp:inline distT="0" distB="0" distL="0" distR="0" wp14:anchorId="3EEA8AD7" wp14:editId="46DD2F00">
            <wp:extent cx="1094400" cy="1407600"/>
            <wp:effectExtent l="0" t="0" r="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titr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94400" cy="1407600"/>
                    </a:xfrm>
                    <a:prstGeom prst="rect">
                      <a:avLst/>
                    </a:prstGeom>
                  </pic:spPr>
                </pic:pic>
              </a:graphicData>
            </a:graphic>
          </wp:inline>
        </w:drawing>
      </w:r>
    </w:p>
    <w:p w:rsidR="005A0EA0" w:rsidRPr="00B263F9" w:rsidRDefault="00924A6D" w:rsidP="002A755A">
      <w:pPr>
        <w:jc w:val="center"/>
        <w:rPr>
          <w:b/>
          <w:sz w:val="28"/>
          <w:szCs w:val="28"/>
        </w:rPr>
      </w:pPr>
      <w:r w:rsidRPr="00B263F9">
        <w:rPr>
          <w:b/>
          <w:sz w:val="28"/>
          <w:szCs w:val="28"/>
        </w:rPr>
        <w:t>Emploi et handicap</w:t>
      </w:r>
    </w:p>
    <w:p w:rsidR="002A755A" w:rsidRPr="00B263F9" w:rsidRDefault="009839FD" w:rsidP="002A755A">
      <w:pPr>
        <w:jc w:val="center"/>
        <w:rPr>
          <w:b/>
          <w:sz w:val="28"/>
          <w:szCs w:val="28"/>
        </w:rPr>
      </w:pPr>
      <w:r w:rsidRPr="00B263F9">
        <w:rPr>
          <w:b/>
          <w:sz w:val="28"/>
          <w:szCs w:val="28"/>
        </w:rPr>
        <w:t xml:space="preserve">-   </w:t>
      </w:r>
      <w:r w:rsidR="002A755A" w:rsidRPr="00B263F9">
        <w:rPr>
          <w:b/>
          <w:sz w:val="28"/>
          <w:szCs w:val="28"/>
        </w:rPr>
        <w:t>Appel à propositions</w:t>
      </w:r>
      <w:r w:rsidRPr="00B263F9">
        <w:rPr>
          <w:b/>
          <w:sz w:val="28"/>
          <w:szCs w:val="28"/>
        </w:rPr>
        <w:t xml:space="preserve">   -</w:t>
      </w:r>
    </w:p>
    <w:p w:rsidR="00605642" w:rsidRPr="00B263F9" w:rsidRDefault="005A0EA0" w:rsidP="0015272A">
      <w:pPr>
        <w:jc w:val="center"/>
        <w:rPr>
          <w:b/>
          <w:i/>
          <w:sz w:val="28"/>
          <w:szCs w:val="28"/>
        </w:rPr>
      </w:pPr>
      <w:r w:rsidRPr="00B263F9">
        <w:rPr>
          <w:b/>
          <w:i/>
          <w:sz w:val="28"/>
          <w:szCs w:val="28"/>
        </w:rPr>
        <w:t>Année 20</w:t>
      </w:r>
      <w:r w:rsidR="002231CE" w:rsidRPr="00B263F9">
        <w:rPr>
          <w:b/>
          <w:i/>
          <w:sz w:val="28"/>
          <w:szCs w:val="28"/>
        </w:rPr>
        <w:t>20</w:t>
      </w:r>
    </w:p>
    <w:p w:rsidR="009C2668" w:rsidRPr="00991D46" w:rsidRDefault="009C2668" w:rsidP="008F6B2F">
      <w:pPr>
        <w:jc w:val="both"/>
      </w:pPr>
    </w:p>
    <w:p w:rsidR="00361745" w:rsidRDefault="00F266D0" w:rsidP="008F6B2F">
      <w:pPr>
        <w:jc w:val="both"/>
      </w:pPr>
      <w:r w:rsidRPr="00991D46">
        <w:t xml:space="preserve">Lyon, le </w:t>
      </w:r>
      <w:r w:rsidR="002231CE">
        <w:t>1</w:t>
      </w:r>
      <w:r w:rsidR="002231CE" w:rsidRPr="002231CE">
        <w:rPr>
          <w:vertAlign w:val="superscript"/>
        </w:rPr>
        <w:t>er</w:t>
      </w:r>
      <w:r w:rsidR="002231CE">
        <w:t xml:space="preserve"> juillet 2020</w:t>
      </w:r>
    </w:p>
    <w:p w:rsidR="002231CE" w:rsidRPr="00991D46" w:rsidRDefault="002231CE" w:rsidP="008F6B2F">
      <w:pPr>
        <w:jc w:val="both"/>
      </w:pPr>
    </w:p>
    <w:p w:rsidR="0015272A" w:rsidRPr="00991D46" w:rsidRDefault="0015272A" w:rsidP="00CF4DB7">
      <w:pPr>
        <w:ind w:firstLine="360"/>
        <w:jc w:val="both"/>
        <w:rPr>
          <w:i/>
        </w:rPr>
      </w:pPr>
      <w:r w:rsidRPr="00991D46">
        <w:rPr>
          <w:i/>
        </w:rPr>
        <w:t>Préambule</w:t>
      </w:r>
    </w:p>
    <w:p w:rsidR="00621308" w:rsidRPr="00991D46" w:rsidRDefault="00621308" w:rsidP="00621308">
      <w:pPr>
        <w:autoSpaceDE w:val="0"/>
        <w:autoSpaceDN w:val="0"/>
        <w:adjustRightInd w:val="0"/>
        <w:spacing w:after="0"/>
        <w:ind w:left="360"/>
        <w:jc w:val="both"/>
        <w:rPr>
          <w:rFonts w:cs="Times New Roman"/>
          <w:bCs/>
        </w:rPr>
      </w:pPr>
      <w:r w:rsidRPr="00991D46">
        <w:rPr>
          <w:rFonts w:cs="Times New Roman"/>
          <w:bCs/>
        </w:rPr>
        <w:t>En France, 2,7 millions de personnes en âge de travailler déclaraient disposer d’une reconnaissance de travailleurs handicapés en 2015 (contre 2,4 millions en 2013). Le nombre de décisions de RQTH ne cesse depuis plusieurs années de croitre (+ 4,1% en 2017, 69.654 décisions en 2017 en ARA). Le taux de chômage des personnes handicapées est le double de celui de la population générale et leur taux d’activité est deux fois moindre. 35% des bénéficiaires de l’obligation d’emploi TH étaient en emploi contre 64% tout public.</w:t>
      </w:r>
    </w:p>
    <w:p w:rsidR="00621308" w:rsidRPr="00991D46" w:rsidRDefault="00621308" w:rsidP="00621308">
      <w:pPr>
        <w:autoSpaceDE w:val="0"/>
        <w:autoSpaceDN w:val="0"/>
        <w:adjustRightInd w:val="0"/>
        <w:spacing w:after="0"/>
        <w:ind w:left="360"/>
        <w:jc w:val="both"/>
        <w:rPr>
          <w:rFonts w:cs="Times New Roman"/>
          <w:bCs/>
        </w:rPr>
      </w:pPr>
    </w:p>
    <w:p w:rsidR="00621308" w:rsidRPr="00991D46" w:rsidRDefault="00621308" w:rsidP="00621308">
      <w:pPr>
        <w:autoSpaceDE w:val="0"/>
        <w:autoSpaceDN w:val="0"/>
        <w:adjustRightInd w:val="0"/>
        <w:spacing w:after="0"/>
        <w:ind w:left="360"/>
        <w:jc w:val="both"/>
        <w:rPr>
          <w:rFonts w:cs="Times New Roman"/>
          <w:bCs/>
        </w:rPr>
      </w:pPr>
      <w:r w:rsidRPr="00991D46">
        <w:rPr>
          <w:rFonts w:cs="Times New Roman"/>
          <w:bCs/>
        </w:rPr>
        <w:t>En Auvergne Rhône Alpes, 5</w:t>
      </w:r>
      <w:r w:rsidR="002C704D">
        <w:rPr>
          <w:rFonts w:cs="Times New Roman"/>
          <w:bCs/>
        </w:rPr>
        <w:t>8</w:t>
      </w:r>
      <w:r w:rsidRPr="00991D46">
        <w:rPr>
          <w:rFonts w:cs="Times New Roman"/>
          <w:bCs/>
        </w:rPr>
        <w:t>.</w:t>
      </w:r>
      <w:r w:rsidR="002C704D">
        <w:rPr>
          <w:rFonts w:cs="Times New Roman"/>
          <w:bCs/>
        </w:rPr>
        <w:t>013</w:t>
      </w:r>
      <w:r w:rsidRPr="00991D46">
        <w:rPr>
          <w:rFonts w:cs="Times New Roman"/>
          <w:bCs/>
        </w:rPr>
        <w:t xml:space="preserve"> personnes handicapées sont inscrites comme demandeurs d’emploi à fin décembre 201</w:t>
      </w:r>
      <w:r w:rsidR="002C704D">
        <w:rPr>
          <w:rFonts w:cs="Times New Roman"/>
          <w:bCs/>
        </w:rPr>
        <w:t>9</w:t>
      </w:r>
      <w:r w:rsidRPr="00991D46">
        <w:rPr>
          <w:rFonts w:cs="Times New Roman"/>
          <w:bCs/>
        </w:rPr>
        <w:t xml:space="preserve"> et représentent 9,1% de la demande d’emploi tout public</w:t>
      </w:r>
      <w:r w:rsidR="002C704D">
        <w:rPr>
          <w:rFonts w:cs="Times New Roman"/>
          <w:bCs/>
        </w:rPr>
        <w:t xml:space="preserve"> (maintien de la part des bénéficiaires de l’OETH dans l’ensemble des DE inscrits à Pôle emploi). </w:t>
      </w:r>
      <w:r w:rsidRPr="00991D46">
        <w:rPr>
          <w:rFonts w:cs="Times New Roman"/>
          <w:bCs/>
        </w:rPr>
        <w:t xml:space="preserve">. Comme pour l’ensemble des demandeurs d’emploi, leur nombre </w:t>
      </w:r>
      <w:r w:rsidR="00B02A78">
        <w:rPr>
          <w:rFonts w:cs="Times New Roman"/>
          <w:bCs/>
        </w:rPr>
        <w:t>a diminué en 2019 (-3%)</w:t>
      </w:r>
      <w:r w:rsidRPr="00991D46">
        <w:rPr>
          <w:rFonts w:cs="Times New Roman"/>
          <w:bCs/>
        </w:rPr>
        <w:t xml:space="preserve">. Mais nous savons que plus de la moitié des demandeurs d’emploi en situation de handicap sont au chômage depuis plus d’un an et que leur ancienneté moyenne d’inscription au chômage bat des records (près de 2 ans). </w:t>
      </w:r>
    </w:p>
    <w:p w:rsidR="006D42C8" w:rsidRPr="00991D46" w:rsidRDefault="006D42C8" w:rsidP="005210A4">
      <w:pPr>
        <w:ind w:left="360"/>
        <w:jc w:val="both"/>
      </w:pPr>
    </w:p>
    <w:p w:rsidR="006D42C8" w:rsidRPr="00991D46" w:rsidRDefault="006D42C8" w:rsidP="005210A4">
      <w:pPr>
        <w:ind w:left="360"/>
        <w:jc w:val="both"/>
      </w:pPr>
      <w:r w:rsidRPr="00991D46">
        <w:t xml:space="preserve">La politique d’insertion  et d’emploi des personnes handicapées </w:t>
      </w:r>
      <w:r w:rsidR="00B02A78">
        <w:t xml:space="preserve">en région Auvergne-Rhône-Alpes </w:t>
      </w:r>
      <w:r w:rsidRPr="00991D46">
        <w:t>mobilisent de nombreux acteurs et s’inscrit donc dans des cadres partenariaux qui structurent et mettent en synergie les différent</w:t>
      </w:r>
      <w:r w:rsidR="00CE5707" w:rsidRPr="00991D46">
        <w:t>e</w:t>
      </w:r>
      <w:r w:rsidRPr="00991D46">
        <w:t>s actions et initiatives conduites.</w:t>
      </w:r>
    </w:p>
    <w:p w:rsidR="0095233E" w:rsidRPr="00991D46" w:rsidRDefault="006F1886" w:rsidP="0095233E">
      <w:pPr>
        <w:spacing w:after="0"/>
        <w:ind w:left="360"/>
        <w:jc w:val="both"/>
        <w:rPr>
          <w:rFonts w:eastAsia="Times New Roman" w:cs="Times New Roman"/>
          <w:lang w:eastAsia="fr-FR"/>
        </w:rPr>
      </w:pPr>
      <w:r w:rsidRPr="00991D46">
        <w:t xml:space="preserve">L’engagement régional pour l’emploi des travailleurs handicapés en </w:t>
      </w:r>
      <w:r w:rsidR="006D42C8" w:rsidRPr="00991D46">
        <w:t>Auvergne-</w:t>
      </w:r>
      <w:r w:rsidRPr="00991D46">
        <w:t xml:space="preserve">Rhône-Alpes (ERETH) signé le 25 septembre 2017 </w:t>
      </w:r>
      <w:r w:rsidR="006D42C8" w:rsidRPr="00991D46">
        <w:t>avec les</w:t>
      </w:r>
      <w:r w:rsidRPr="00991D46">
        <w:t xml:space="preserve"> acteurs institutionnels et les partenaires sociaux </w:t>
      </w:r>
      <w:r w:rsidR="006D42C8" w:rsidRPr="00991D46">
        <w:t xml:space="preserve">constitue le cadre de référence de ce partenariat.  </w:t>
      </w:r>
      <w:r w:rsidR="0095233E" w:rsidRPr="00991D46">
        <w:rPr>
          <w:rFonts w:eastAsia="Times New Roman" w:cs="Times New Roman"/>
          <w:lang w:eastAsia="fr-FR"/>
        </w:rPr>
        <w:t xml:space="preserve">L’ERETH est piloté par un groupe de travail dédié du CREFOP qui associe également à la démarche les autorités académiques. Il se décline en un plan d’actions variées (près de </w:t>
      </w:r>
      <w:r w:rsidR="00DD23F9">
        <w:rPr>
          <w:rFonts w:eastAsia="Times New Roman" w:cs="Times New Roman"/>
          <w:lang w:eastAsia="fr-FR"/>
        </w:rPr>
        <w:t>15</w:t>
      </w:r>
      <w:r w:rsidR="0095233E" w:rsidRPr="00991D46">
        <w:rPr>
          <w:rFonts w:eastAsia="Times New Roman" w:cs="Times New Roman"/>
          <w:lang w:eastAsia="fr-FR"/>
        </w:rPr>
        <w:t xml:space="preserve"> actions) porté</w:t>
      </w:r>
      <w:r w:rsidR="00372453">
        <w:rPr>
          <w:rFonts w:eastAsia="Times New Roman" w:cs="Times New Roman"/>
          <w:lang w:eastAsia="fr-FR"/>
        </w:rPr>
        <w:t>es</w:t>
      </w:r>
      <w:r w:rsidR="0095233E" w:rsidRPr="00991D46">
        <w:rPr>
          <w:rFonts w:eastAsia="Times New Roman" w:cs="Times New Roman"/>
          <w:lang w:eastAsia="fr-FR"/>
        </w:rPr>
        <w:t xml:space="preserve"> par différents partenaires.</w:t>
      </w:r>
    </w:p>
    <w:p w:rsidR="0095233E" w:rsidRPr="00991D46" w:rsidRDefault="006D42C8" w:rsidP="0095233E">
      <w:pPr>
        <w:ind w:left="360"/>
        <w:jc w:val="both"/>
      </w:pPr>
      <w:r w:rsidRPr="00991D46">
        <w:lastRenderedPageBreak/>
        <w:t>La charte régionale de maintien dans l’emploi est également un cadre d’action</w:t>
      </w:r>
      <w:r w:rsidR="0095233E" w:rsidRPr="00991D46">
        <w:t xml:space="preserve"> partenarial </w:t>
      </w:r>
      <w:r w:rsidRPr="00991D46">
        <w:t xml:space="preserve"> important pour </w:t>
      </w:r>
      <w:r w:rsidR="0095233E" w:rsidRPr="00991D46">
        <w:t>prévenir la désinsertion professionnelle et faciliter le reclassement des actifs qui rencontrent une problématique d</w:t>
      </w:r>
      <w:r w:rsidR="00372453">
        <w:t>e santé et d</w:t>
      </w:r>
      <w:r w:rsidR="0095233E" w:rsidRPr="00991D46">
        <w:t xml:space="preserve">’aptitude dans leur activité professionnelle. </w:t>
      </w:r>
    </w:p>
    <w:p w:rsidR="00C37C8F" w:rsidRDefault="00AC5576" w:rsidP="00AC5576">
      <w:pPr>
        <w:autoSpaceDE w:val="0"/>
        <w:autoSpaceDN w:val="0"/>
        <w:adjustRightInd w:val="0"/>
        <w:spacing w:after="0"/>
        <w:ind w:left="360"/>
        <w:jc w:val="both"/>
        <w:rPr>
          <w:rFonts w:cs="Times New Roman"/>
          <w:bCs/>
        </w:rPr>
      </w:pPr>
      <w:r w:rsidRPr="00991D46">
        <w:rPr>
          <w:rFonts w:cs="Times New Roman"/>
          <w:bCs/>
        </w:rPr>
        <w:t>L’inclusion et l’emploi des personnes handicapées</w:t>
      </w:r>
      <w:r w:rsidR="00240A1B">
        <w:rPr>
          <w:rFonts w:cs="Times New Roman"/>
          <w:bCs/>
        </w:rPr>
        <w:t xml:space="preserve"> </w:t>
      </w:r>
      <w:r w:rsidR="00240A1B" w:rsidRPr="00633FA4">
        <w:rPr>
          <w:rFonts w:cs="Times New Roman"/>
          <w:bCs/>
        </w:rPr>
        <w:t>(PH)</w:t>
      </w:r>
      <w:r w:rsidRPr="00633FA4">
        <w:rPr>
          <w:rFonts w:cs="Times New Roman"/>
          <w:bCs/>
        </w:rPr>
        <w:t xml:space="preserve"> </w:t>
      </w:r>
      <w:r w:rsidRPr="00991D46">
        <w:rPr>
          <w:rFonts w:cs="Times New Roman"/>
          <w:bCs/>
        </w:rPr>
        <w:t xml:space="preserve">dans notre société est une priorité du quinquennat. </w:t>
      </w:r>
      <w:r w:rsidR="00B02A78">
        <w:rPr>
          <w:rFonts w:cs="Times New Roman"/>
          <w:bCs/>
        </w:rPr>
        <w:t>De nombreuses réformes et actions sont en cours (</w:t>
      </w:r>
      <w:r w:rsidRPr="00991D46">
        <w:rPr>
          <w:rFonts w:cs="Times New Roman"/>
          <w:bCs/>
        </w:rPr>
        <w:t xml:space="preserve">loi du 05 septembre 2018 : AAH, réforme de l’OETH, </w:t>
      </w:r>
      <w:r w:rsidR="00B02A78">
        <w:rPr>
          <w:rFonts w:cs="Times New Roman"/>
          <w:bCs/>
        </w:rPr>
        <w:t xml:space="preserve">accès à la formation des PH, </w:t>
      </w:r>
      <w:r w:rsidR="00F26683">
        <w:rPr>
          <w:rFonts w:cs="Times New Roman"/>
          <w:bCs/>
        </w:rPr>
        <w:t xml:space="preserve">passerelle secteur protégé et secteur adapté, </w:t>
      </w:r>
      <w:r w:rsidR="00B02A78">
        <w:rPr>
          <w:rFonts w:cs="Times New Roman"/>
          <w:bCs/>
        </w:rPr>
        <w:t>r</w:t>
      </w:r>
      <w:r w:rsidRPr="00991D46">
        <w:rPr>
          <w:rFonts w:cs="Times New Roman"/>
          <w:bCs/>
        </w:rPr>
        <w:t>éforme des entreprises adaptées, fonctionnement des MDPH – simplification de l’offre de service…), des plans d’action stratégiques sont déployés (</w:t>
      </w:r>
      <w:r w:rsidR="00F26683">
        <w:rPr>
          <w:rFonts w:cs="Times New Roman"/>
          <w:bCs/>
        </w:rPr>
        <w:t xml:space="preserve">formation et accès </w:t>
      </w:r>
      <w:r w:rsidR="00906990">
        <w:rPr>
          <w:rFonts w:cs="Times New Roman"/>
          <w:bCs/>
        </w:rPr>
        <w:t xml:space="preserve">des PH </w:t>
      </w:r>
      <w:r w:rsidR="00F26683">
        <w:rPr>
          <w:rFonts w:cs="Times New Roman"/>
          <w:bCs/>
        </w:rPr>
        <w:t xml:space="preserve">à l’apprentissage, </w:t>
      </w:r>
      <w:r w:rsidR="00906990">
        <w:rPr>
          <w:rFonts w:cs="Times New Roman"/>
          <w:bCs/>
        </w:rPr>
        <w:t xml:space="preserve">plan d’investissement compétence, </w:t>
      </w:r>
      <w:r w:rsidRPr="00991D46">
        <w:rPr>
          <w:rFonts w:cs="Times New Roman"/>
          <w:bCs/>
        </w:rPr>
        <w:t>plan autisme, stratégie de lutte contre la pauvreté, développement de l’emploi accompagné</w:t>
      </w:r>
      <w:r w:rsidR="00F26683">
        <w:rPr>
          <w:rFonts w:cs="Times New Roman"/>
          <w:bCs/>
        </w:rPr>
        <w:t>,</w:t>
      </w:r>
      <w:r w:rsidR="00906990">
        <w:rPr>
          <w:rFonts w:cs="Times New Roman"/>
          <w:bCs/>
        </w:rPr>
        <w:t xml:space="preserve"> passerelle secteur protégé et milieu ordinaire de travail, réforme et développement des entreprises adaptées</w:t>
      </w:r>
      <w:r w:rsidR="00633FA4">
        <w:rPr>
          <w:rFonts w:cs="Times New Roman"/>
          <w:bCs/>
        </w:rPr>
        <w:t>…)</w:t>
      </w:r>
      <w:r w:rsidRPr="00991D46">
        <w:rPr>
          <w:rFonts w:cs="Times New Roman"/>
          <w:bCs/>
        </w:rPr>
        <w:t xml:space="preserve">. </w:t>
      </w:r>
    </w:p>
    <w:p w:rsidR="00EE0ED5" w:rsidRDefault="00AC5576" w:rsidP="00AC5576">
      <w:pPr>
        <w:autoSpaceDE w:val="0"/>
        <w:autoSpaceDN w:val="0"/>
        <w:adjustRightInd w:val="0"/>
        <w:spacing w:after="0"/>
        <w:ind w:left="360"/>
        <w:jc w:val="both"/>
        <w:rPr>
          <w:rFonts w:cs="Times New Roman"/>
          <w:bCs/>
        </w:rPr>
      </w:pPr>
      <w:r w:rsidRPr="00633FA4">
        <w:rPr>
          <w:rFonts w:cs="Times New Roman"/>
          <w:bCs/>
        </w:rPr>
        <w:t>Mme Sophie C</w:t>
      </w:r>
      <w:r w:rsidR="00240A1B" w:rsidRPr="00633FA4">
        <w:rPr>
          <w:rFonts w:cs="Times New Roman"/>
          <w:bCs/>
        </w:rPr>
        <w:t>LUZEL</w:t>
      </w:r>
      <w:r w:rsidRPr="00633FA4">
        <w:rPr>
          <w:rFonts w:cs="Times New Roman"/>
          <w:bCs/>
        </w:rPr>
        <w:t xml:space="preserve">, secrétaire d’Etat auprès du Premier ministre en charge des personnes </w:t>
      </w:r>
      <w:r w:rsidRPr="00991D46">
        <w:rPr>
          <w:rFonts w:cs="Times New Roman"/>
          <w:bCs/>
        </w:rPr>
        <w:t xml:space="preserve">handicapées, </w:t>
      </w:r>
      <w:r w:rsidR="00705899" w:rsidRPr="00991D46">
        <w:rPr>
          <w:rFonts w:cs="Times New Roman"/>
          <w:bCs/>
        </w:rPr>
        <w:t>développe et soutien</w:t>
      </w:r>
      <w:r w:rsidR="00BD6118" w:rsidRPr="00991D46">
        <w:rPr>
          <w:rFonts w:cs="Times New Roman"/>
          <w:bCs/>
        </w:rPr>
        <w:t>t</w:t>
      </w:r>
      <w:r w:rsidR="00705899" w:rsidRPr="00991D46">
        <w:rPr>
          <w:rFonts w:cs="Times New Roman"/>
          <w:bCs/>
        </w:rPr>
        <w:t xml:space="preserve"> une politique sur divers axes : l’école inclusive, l’entreprise inclusive, la pleine citoyenneté (participation des personnes handicapées à la définition des actions qui les concernent), la simplification de l’accès aux droits et l’accessibilité à tous. </w:t>
      </w:r>
      <w:r w:rsidR="00E4365F" w:rsidRPr="00991D46">
        <w:rPr>
          <w:rFonts w:cs="Times New Roman"/>
          <w:bCs/>
        </w:rPr>
        <w:t xml:space="preserve">Elle promeut </w:t>
      </w:r>
      <w:r w:rsidR="00A20633" w:rsidRPr="00991D46">
        <w:rPr>
          <w:rFonts w:cs="Times New Roman"/>
          <w:bCs/>
        </w:rPr>
        <w:t>le développement de l’innovation</w:t>
      </w:r>
      <w:r w:rsidR="00906990">
        <w:rPr>
          <w:rFonts w:cs="Times New Roman"/>
          <w:bCs/>
        </w:rPr>
        <w:t xml:space="preserve">, </w:t>
      </w:r>
      <w:r w:rsidR="00A20633" w:rsidRPr="00991D46">
        <w:rPr>
          <w:rFonts w:cs="Times New Roman"/>
          <w:bCs/>
        </w:rPr>
        <w:t xml:space="preserve">la mise en visibilité </w:t>
      </w:r>
      <w:r w:rsidR="00906990">
        <w:rPr>
          <w:rFonts w:cs="Times New Roman"/>
          <w:bCs/>
        </w:rPr>
        <w:t>et la valorisation des bonnes pratiques.</w:t>
      </w:r>
    </w:p>
    <w:p w:rsidR="00906990" w:rsidRDefault="00EE0ED5" w:rsidP="00AC5576">
      <w:pPr>
        <w:autoSpaceDE w:val="0"/>
        <w:autoSpaceDN w:val="0"/>
        <w:adjustRightInd w:val="0"/>
        <w:spacing w:after="0"/>
        <w:ind w:left="360"/>
        <w:jc w:val="both"/>
        <w:rPr>
          <w:rFonts w:cs="Times New Roman"/>
          <w:bCs/>
        </w:rPr>
      </w:pPr>
      <w:r>
        <w:rPr>
          <w:rFonts w:cs="Times New Roman"/>
          <w:bCs/>
        </w:rPr>
        <w:t xml:space="preserve">Sur le volet formation et emploi, le lancement le 18 novembre dernier par la ministre </w:t>
      </w:r>
      <w:r w:rsidR="00906990">
        <w:rPr>
          <w:rFonts w:cs="Times New Roman"/>
          <w:bCs/>
        </w:rPr>
        <w:t xml:space="preserve">du travail, Murielle PENICAUD, </w:t>
      </w:r>
      <w:r>
        <w:rPr>
          <w:rFonts w:cs="Times New Roman"/>
          <w:bCs/>
        </w:rPr>
        <w:t>du</w:t>
      </w:r>
      <w:r w:rsidR="000D25C7">
        <w:rPr>
          <w:rFonts w:cs="Times New Roman"/>
          <w:bCs/>
        </w:rPr>
        <w:t xml:space="preserve"> comité de suivi et d’évaluation des réformes </w:t>
      </w:r>
      <w:proofErr w:type="gramStart"/>
      <w:r w:rsidR="000D25C7">
        <w:rPr>
          <w:rFonts w:cs="Times New Roman"/>
          <w:bCs/>
        </w:rPr>
        <w:t>de la</w:t>
      </w:r>
      <w:proofErr w:type="gramEnd"/>
      <w:r w:rsidR="000D25C7">
        <w:rPr>
          <w:rFonts w:cs="Times New Roman"/>
          <w:bCs/>
        </w:rPr>
        <w:t xml:space="preserve"> politique emploi des PH </w:t>
      </w:r>
      <w:r>
        <w:rPr>
          <w:rFonts w:cs="Times New Roman"/>
          <w:bCs/>
        </w:rPr>
        <w:t>marque l</w:t>
      </w:r>
      <w:r w:rsidR="00B263F9">
        <w:rPr>
          <w:rFonts w:cs="Times New Roman"/>
          <w:bCs/>
        </w:rPr>
        <w:t>a volonté d’intégrer pleinement</w:t>
      </w:r>
      <w:r w:rsidR="00633FA4">
        <w:rPr>
          <w:rFonts w:cs="Times New Roman"/>
          <w:bCs/>
        </w:rPr>
        <w:t xml:space="preserve"> ceux-ci</w:t>
      </w:r>
      <w:r w:rsidR="00B263F9">
        <w:rPr>
          <w:rFonts w:cs="Times New Roman"/>
          <w:bCs/>
        </w:rPr>
        <w:t xml:space="preserve"> dans les politiques emploi et d’inclusion </w:t>
      </w:r>
      <w:r w:rsidR="00240A1B">
        <w:rPr>
          <w:rFonts w:cs="Times New Roman"/>
          <w:bCs/>
        </w:rPr>
        <w:t xml:space="preserve">avec </w:t>
      </w:r>
      <w:r w:rsidR="00633FA4">
        <w:rPr>
          <w:rFonts w:cs="Times New Roman"/>
          <w:bCs/>
        </w:rPr>
        <w:t>comme</w:t>
      </w:r>
      <w:r w:rsidR="00240A1B">
        <w:rPr>
          <w:rFonts w:cs="Times New Roman"/>
          <w:bCs/>
        </w:rPr>
        <w:t xml:space="preserve"> </w:t>
      </w:r>
      <w:r w:rsidR="00DD23F9">
        <w:rPr>
          <w:rFonts w:cs="Times New Roman"/>
          <w:bCs/>
        </w:rPr>
        <w:t>objectif</w:t>
      </w:r>
      <w:r>
        <w:rPr>
          <w:rFonts w:cs="Times New Roman"/>
          <w:bCs/>
        </w:rPr>
        <w:t xml:space="preserve"> </w:t>
      </w:r>
      <w:r w:rsidR="00B263F9">
        <w:rPr>
          <w:rFonts w:cs="Times New Roman"/>
          <w:bCs/>
        </w:rPr>
        <w:t xml:space="preserve">de </w:t>
      </w:r>
      <w:r w:rsidR="00A20633" w:rsidRPr="00991D46">
        <w:rPr>
          <w:rFonts w:cs="Times New Roman"/>
          <w:bCs/>
        </w:rPr>
        <w:t>démultiplier pour eux les solutions d’emploi et d’insertion (changer d’échelle pour une société du vivre ensemble)</w:t>
      </w:r>
      <w:r w:rsidR="003B483F">
        <w:rPr>
          <w:rFonts w:cs="Times New Roman"/>
          <w:bCs/>
        </w:rPr>
        <w:t>.</w:t>
      </w:r>
      <w:r w:rsidR="00633FA4">
        <w:rPr>
          <w:rFonts w:cs="Times New Roman"/>
          <w:bCs/>
        </w:rPr>
        <w:t xml:space="preserve"> </w:t>
      </w:r>
      <w:r w:rsidR="00DD23F9">
        <w:rPr>
          <w:rFonts w:cs="Times New Roman"/>
          <w:bCs/>
        </w:rPr>
        <w:t>La feuille de route établie par ce comité de suivi récemment (</w:t>
      </w:r>
      <w:r w:rsidR="00EE172F">
        <w:rPr>
          <w:rFonts w:cs="Times New Roman"/>
          <w:bCs/>
        </w:rPr>
        <w:t>mars</w:t>
      </w:r>
      <w:r w:rsidR="00DD23F9">
        <w:rPr>
          <w:rFonts w:cs="Times New Roman"/>
          <w:bCs/>
        </w:rPr>
        <w:t xml:space="preserve"> 2020) montre la richesse des objectifs et actions en cours et l’ambition portée. La crise exceptionnelle du </w:t>
      </w:r>
      <w:proofErr w:type="spellStart"/>
      <w:r w:rsidR="00DD23F9">
        <w:rPr>
          <w:rFonts w:cs="Times New Roman"/>
          <w:bCs/>
        </w:rPr>
        <w:t>Covid</w:t>
      </w:r>
      <w:proofErr w:type="spellEnd"/>
      <w:r w:rsidR="00DD23F9">
        <w:rPr>
          <w:rFonts w:cs="Times New Roman"/>
          <w:bCs/>
        </w:rPr>
        <w:t xml:space="preserve"> et ses incidences à moyen long terme sur le marché du travail </w:t>
      </w:r>
      <w:r w:rsidR="003B483F">
        <w:rPr>
          <w:rFonts w:cs="Times New Roman"/>
          <w:bCs/>
        </w:rPr>
        <w:t>constitue une menace pour l’insertion et l’emploi des PH et appelle plus que jamais une mobilisation et une action déterminée pour l’inclusion et l’emploi des PH</w:t>
      </w:r>
      <w:r w:rsidR="00EE172F">
        <w:rPr>
          <w:rFonts w:cs="Times New Roman"/>
          <w:bCs/>
        </w:rPr>
        <w:t xml:space="preserve">, en particulier les plus fragiles et éloignés </w:t>
      </w:r>
      <w:r w:rsidR="00EE172F" w:rsidRPr="00633FA4">
        <w:rPr>
          <w:rFonts w:cs="Times New Roman"/>
          <w:bCs/>
        </w:rPr>
        <w:t xml:space="preserve">de </w:t>
      </w:r>
      <w:r w:rsidR="00240A1B" w:rsidRPr="00633FA4">
        <w:rPr>
          <w:rFonts w:cs="Times New Roman"/>
          <w:bCs/>
        </w:rPr>
        <w:t>l’emploi.</w:t>
      </w:r>
      <w:r w:rsidR="00A20633" w:rsidRPr="00633FA4">
        <w:rPr>
          <w:rFonts w:cs="Times New Roman"/>
          <w:bCs/>
        </w:rPr>
        <w:t xml:space="preserve"> </w:t>
      </w:r>
      <w:r w:rsidR="00E4365F" w:rsidRPr="00633FA4">
        <w:rPr>
          <w:rFonts w:cs="Times New Roman"/>
          <w:bCs/>
        </w:rPr>
        <w:t xml:space="preserve"> </w:t>
      </w:r>
    </w:p>
    <w:p w:rsidR="001F76F0" w:rsidRDefault="00240A1B" w:rsidP="005210A4">
      <w:pPr>
        <w:ind w:left="360"/>
        <w:jc w:val="both"/>
      </w:pPr>
      <w:r w:rsidRPr="00633FA4">
        <w:rPr>
          <w:b/>
        </w:rPr>
        <w:t>Dans ce contexte,</w:t>
      </w:r>
      <w:r>
        <w:rPr>
          <w:b/>
        </w:rPr>
        <w:t xml:space="preserve"> l</w:t>
      </w:r>
      <w:r w:rsidR="00B906DE" w:rsidRPr="003B483F">
        <w:rPr>
          <w:b/>
        </w:rPr>
        <w:t>a DIRECCTE Auvergne-Rhône-Alpes lance un appel à proposition</w:t>
      </w:r>
      <w:r w:rsidR="00BD6118" w:rsidRPr="003B483F">
        <w:rPr>
          <w:b/>
        </w:rPr>
        <w:t>s</w:t>
      </w:r>
      <w:r w:rsidR="00B906DE" w:rsidRPr="003B483F">
        <w:rPr>
          <w:b/>
        </w:rPr>
        <w:t xml:space="preserve"> d’initiative et d’action </w:t>
      </w:r>
      <w:r w:rsidR="00B906DE" w:rsidRPr="00991D46">
        <w:t xml:space="preserve">qui </w:t>
      </w:r>
      <w:r w:rsidR="00DB20D3" w:rsidRPr="00991D46">
        <w:t>s’inscrit à la fois dans le</w:t>
      </w:r>
      <w:r w:rsidR="00633FA4">
        <w:t>s</w:t>
      </w:r>
      <w:r w:rsidR="00DB20D3" w:rsidRPr="00991D46">
        <w:t xml:space="preserve"> orientations nationales précitées et </w:t>
      </w:r>
      <w:r w:rsidR="00550A34">
        <w:t>l</w:t>
      </w:r>
      <w:r w:rsidR="00DB20D3" w:rsidRPr="00991D46">
        <w:t>es axes prioritaires d’action défini</w:t>
      </w:r>
      <w:r w:rsidR="00BD6118" w:rsidRPr="00991D46">
        <w:t>s</w:t>
      </w:r>
      <w:r w:rsidR="00DB20D3" w:rsidRPr="00991D46">
        <w:t xml:space="preserve"> dans le</w:t>
      </w:r>
      <w:r w:rsidR="003B483F">
        <w:t>s</w:t>
      </w:r>
      <w:r w:rsidR="00DB20D3" w:rsidRPr="00991D46">
        <w:t xml:space="preserve"> cadre</w:t>
      </w:r>
      <w:r w:rsidR="003B483F">
        <w:t>s</w:t>
      </w:r>
      <w:r w:rsidR="00DB20D3" w:rsidRPr="00991D46">
        <w:t xml:space="preserve"> partenaria</w:t>
      </w:r>
      <w:r w:rsidR="003B483F">
        <w:t>ux régionaux (</w:t>
      </w:r>
      <w:r w:rsidR="00DB20D3" w:rsidRPr="00633FA4">
        <w:t>ERETH</w:t>
      </w:r>
      <w:r w:rsidR="00123BB9" w:rsidRPr="00991D46">
        <w:t>,</w:t>
      </w:r>
      <w:r w:rsidR="003B483F">
        <w:t xml:space="preserve"> coordination maintien dans l’emploi, </w:t>
      </w:r>
      <w:r w:rsidR="00633FA4">
        <w:t>service public de l’emploi régional -SPER</w:t>
      </w:r>
      <w:r w:rsidR="003B483F">
        <w:t>, ….)</w:t>
      </w:r>
      <w:r w:rsidR="00BD6455">
        <w:t>.</w:t>
      </w:r>
      <w:r w:rsidR="00AD7069" w:rsidRPr="00991D46">
        <w:t xml:space="preserve"> </w:t>
      </w:r>
    </w:p>
    <w:p w:rsidR="0015272A" w:rsidRPr="00991D46" w:rsidRDefault="00E735CD" w:rsidP="008F6B2F">
      <w:pPr>
        <w:pStyle w:val="Paragraphedeliste"/>
        <w:numPr>
          <w:ilvl w:val="0"/>
          <w:numId w:val="1"/>
        </w:numPr>
        <w:jc w:val="both"/>
        <w:rPr>
          <w:b/>
        </w:rPr>
      </w:pPr>
      <w:r>
        <w:rPr>
          <w:b/>
        </w:rPr>
        <w:t>Les priorités d’actions</w:t>
      </w:r>
      <w:r w:rsidR="001975FC" w:rsidRPr="00991D46">
        <w:rPr>
          <w:b/>
        </w:rPr>
        <w:t xml:space="preserve"> éligibles</w:t>
      </w:r>
    </w:p>
    <w:p w:rsidR="00962928" w:rsidRPr="00991D46" w:rsidRDefault="00D64ED7" w:rsidP="00962928">
      <w:pPr>
        <w:ind w:left="360"/>
        <w:jc w:val="both"/>
      </w:pPr>
      <w:bookmarkStart w:id="0" w:name="_GoBack"/>
      <w:r w:rsidRPr="00991D46">
        <w:t>L</w:t>
      </w:r>
      <w:r w:rsidR="00F077AC">
        <w:t xml:space="preserve">es </w:t>
      </w:r>
      <w:r w:rsidRPr="00991D46">
        <w:t>action</w:t>
      </w:r>
      <w:r w:rsidR="00F077AC">
        <w:t>s proposées devront répondre à l’un ou à plusieurs des objectifs prioritaires</w:t>
      </w:r>
      <w:bookmarkEnd w:id="0"/>
      <w:r w:rsidR="00F077AC">
        <w:t xml:space="preserve"> suivants </w:t>
      </w:r>
      <w:r w:rsidR="00FB53E4" w:rsidRPr="00991D46">
        <w:t>:</w:t>
      </w:r>
    </w:p>
    <w:p w:rsidR="00EB3019" w:rsidRPr="00EB3019" w:rsidRDefault="00550A34" w:rsidP="00EB3019">
      <w:pPr>
        <w:pStyle w:val="Paragraphedeliste"/>
        <w:numPr>
          <w:ilvl w:val="0"/>
          <w:numId w:val="3"/>
        </w:numPr>
        <w:spacing w:after="80"/>
        <w:ind w:left="714" w:hanging="357"/>
        <w:contextualSpacing w:val="0"/>
        <w:jc w:val="both"/>
        <w:rPr>
          <w:i/>
        </w:rPr>
      </w:pPr>
      <w:r>
        <w:t xml:space="preserve">A)  </w:t>
      </w:r>
      <w:r w:rsidR="00E16604">
        <w:t>L’accompagnement à la formation</w:t>
      </w:r>
      <w:r w:rsidR="00780EC4">
        <w:t xml:space="preserve"> notamment :</w:t>
      </w:r>
    </w:p>
    <w:p w:rsidR="00780EC4" w:rsidRPr="00780EC4" w:rsidRDefault="00780EC4" w:rsidP="00780EC4">
      <w:pPr>
        <w:pStyle w:val="Paragraphedeliste"/>
        <w:spacing w:after="80"/>
        <w:ind w:left="1440"/>
        <w:contextualSpacing w:val="0"/>
        <w:jc w:val="both"/>
        <w:rPr>
          <w:i/>
        </w:rPr>
      </w:pPr>
    </w:p>
    <w:p w:rsidR="00DD67CC" w:rsidRPr="00DD67CC" w:rsidRDefault="00DD67CC" w:rsidP="00F077AC">
      <w:pPr>
        <w:pStyle w:val="Paragraphedeliste"/>
        <w:numPr>
          <w:ilvl w:val="1"/>
          <w:numId w:val="3"/>
        </w:numPr>
        <w:spacing w:after="80"/>
        <w:contextualSpacing w:val="0"/>
        <w:jc w:val="both"/>
        <w:rPr>
          <w:i/>
        </w:rPr>
      </w:pPr>
      <w:r>
        <w:t xml:space="preserve">Favoriser l’accès à </w:t>
      </w:r>
      <w:r w:rsidR="00F077AC">
        <w:t xml:space="preserve">l’apprentissage </w:t>
      </w:r>
      <w:r w:rsidR="00EB3019">
        <w:t xml:space="preserve">(secteur privé et secteur publique) </w:t>
      </w:r>
      <w:r w:rsidR="00F077AC">
        <w:t>aux personnes handicapé</w:t>
      </w:r>
      <w:r>
        <w:t>e</w:t>
      </w:r>
      <w:r w:rsidR="00F077AC">
        <w:t>s</w:t>
      </w:r>
      <w:r w:rsidR="002831E1">
        <w:t xml:space="preserve"> </w:t>
      </w:r>
      <w:r w:rsidR="00855257">
        <w:t xml:space="preserve">dans le cadre de la politique de développement de cette voie de formation </w:t>
      </w:r>
      <w:r w:rsidR="002831E1">
        <w:t>(</w:t>
      </w:r>
      <w:r w:rsidR="00DD6FE1">
        <w:t xml:space="preserve">élaboration du projet de formation, </w:t>
      </w:r>
      <w:r w:rsidR="002831E1">
        <w:t>identification et relation avec les CFA, mise en relation avec les entreprises et maitre d’apprentissage,</w:t>
      </w:r>
      <w:r>
        <w:t xml:space="preserve"> </w:t>
      </w:r>
      <w:r w:rsidR="002831E1">
        <w:t xml:space="preserve">accompagnement </w:t>
      </w:r>
      <w:r>
        <w:t>sur les questions d’accessibilité, de logement, de transport, et autres freins spécifiques ….)</w:t>
      </w:r>
    </w:p>
    <w:p w:rsidR="00855257" w:rsidRPr="00E16604" w:rsidRDefault="00855257" w:rsidP="00F077AC">
      <w:pPr>
        <w:pStyle w:val="Paragraphedeliste"/>
        <w:numPr>
          <w:ilvl w:val="1"/>
          <w:numId w:val="3"/>
        </w:numPr>
        <w:spacing w:after="80"/>
        <w:contextualSpacing w:val="0"/>
        <w:jc w:val="both"/>
        <w:rPr>
          <w:i/>
        </w:rPr>
      </w:pPr>
      <w:r>
        <w:lastRenderedPageBreak/>
        <w:t>Action d’accompagnement vers des parcours dans l’enseignement supérieur y compris en apprentissage</w:t>
      </w:r>
    </w:p>
    <w:p w:rsidR="00E16604" w:rsidRPr="00780EC4" w:rsidRDefault="00E16604" w:rsidP="00F077AC">
      <w:pPr>
        <w:pStyle w:val="Paragraphedeliste"/>
        <w:numPr>
          <w:ilvl w:val="1"/>
          <w:numId w:val="3"/>
        </w:numPr>
        <w:spacing w:after="80"/>
        <w:contextualSpacing w:val="0"/>
        <w:jc w:val="both"/>
        <w:rPr>
          <w:i/>
        </w:rPr>
      </w:pPr>
      <w:r>
        <w:t xml:space="preserve">Recherche et préparation de stages </w:t>
      </w:r>
      <w:r w:rsidR="00DD6FE1">
        <w:t>intégrés à un cursus de formation</w:t>
      </w:r>
    </w:p>
    <w:p w:rsidR="00780EC4" w:rsidRPr="00DD6FE1" w:rsidRDefault="00780EC4" w:rsidP="004A432A">
      <w:pPr>
        <w:pStyle w:val="Paragraphedeliste"/>
        <w:spacing w:after="80"/>
        <w:ind w:left="1440"/>
        <w:contextualSpacing w:val="0"/>
        <w:jc w:val="both"/>
        <w:rPr>
          <w:i/>
        </w:rPr>
      </w:pPr>
    </w:p>
    <w:p w:rsidR="003E7205" w:rsidRDefault="00550A34" w:rsidP="00855257">
      <w:pPr>
        <w:pStyle w:val="Paragraphedeliste"/>
        <w:numPr>
          <w:ilvl w:val="0"/>
          <w:numId w:val="3"/>
        </w:numPr>
        <w:spacing w:after="80"/>
        <w:contextualSpacing w:val="0"/>
        <w:jc w:val="both"/>
      </w:pPr>
      <w:r>
        <w:t xml:space="preserve">B)  </w:t>
      </w:r>
      <w:r w:rsidR="003E7205">
        <w:t>Action développant le lien avec les employeurs </w:t>
      </w:r>
      <w:r w:rsidR="00780EC4">
        <w:t>notamment</w:t>
      </w:r>
      <w:r w:rsidR="003E7205">
        <w:t>:</w:t>
      </w:r>
    </w:p>
    <w:p w:rsidR="003E7205" w:rsidRDefault="00A6124B" w:rsidP="003E7205">
      <w:pPr>
        <w:pStyle w:val="Paragraphedeliste"/>
        <w:numPr>
          <w:ilvl w:val="1"/>
          <w:numId w:val="3"/>
        </w:numPr>
        <w:spacing w:after="80"/>
        <w:contextualSpacing w:val="0"/>
        <w:jc w:val="both"/>
      </w:pPr>
      <w:r>
        <w:t>Dé</w:t>
      </w:r>
      <w:r w:rsidR="003E7205">
        <w:t>velopper la coopération entre ceux-ci et les structures accompagnantes pour favoriser l</w:t>
      </w:r>
      <w:r>
        <w:t>e recrutement et l</w:t>
      </w:r>
      <w:r w:rsidR="003E7205">
        <w:t>’emploi des personnes handicapées,</w:t>
      </w:r>
    </w:p>
    <w:p w:rsidR="00A6124B" w:rsidRPr="00A6124B" w:rsidRDefault="00A6124B" w:rsidP="00A6124B">
      <w:pPr>
        <w:pStyle w:val="Paragraphedeliste"/>
        <w:numPr>
          <w:ilvl w:val="1"/>
          <w:numId w:val="3"/>
        </w:numPr>
        <w:jc w:val="both"/>
        <w:rPr>
          <w:b/>
        </w:rPr>
      </w:pPr>
      <w:r>
        <w:t xml:space="preserve">Sensibiliser les entreprises au partenariat avec les entreprises adaptées </w:t>
      </w:r>
      <w:r w:rsidR="00F72EC3">
        <w:t>(EA) et les établissements de soins et d’aide par le travail (ESAT) dans la logique « acheter et recruter autrement », en complémentarité des actions conduites par ces structures et le service public de l’emploi (SPE),</w:t>
      </w:r>
    </w:p>
    <w:p w:rsidR="00F72EC3" w:rsidRDefault="00F72EC3" w:rsidP="003E7205">
      <w:pPr>
        <w:pStyle w:val="Paragraphedeliste"/>
        <w:numPr>
          <w:ilvl w:val="1"/>
          <w:numId w:val="3"/>
        </w:numPr>
        <w:spacing w:after="80"/>
        <w:contextualSpacing w:val="0"/>
        <w:jc w:val="both"/>
      </w:pPr>
      <w:r>
        <w:t xml:space="preserve">Développer les passerelles entre le milieu protégé et le milieu ordinaire de travail (hors dispositif « emploi accompagné »). </w:t>
      </w:r>
    </w:p>
    <w:p w:rsidR="00EF124D" w:rsidRDefault="00F72EC3" w:rsidP="00F72EC3">
      <w:pPr>
        <w:pStyle w:val="Paragraphedeliste"/>
        <w:numPr>
          <w:ilvl w:val="1"/>
          <w:numId w:val="3"/>
        </w:numPr>
        <w:spacing w:after="80"/>
        <w:contextualSpacing w:val="0"/>
        <w:jc w:val="both"/>
      </w:pPr>
      <w:r>
        <w:t xml:space="preserve">Favoriser </w:t>
      </w:r>
      <w:r w:rsidR="00EF124D">
        <w:t>et accompagner l’accès des PH aux dispositifs de droit commun (IAE, GEIQ, EA…)</w:t>
      </w:r>
    </w:p>
    <w:p w:rsidR="00F72EC3" w:rsidRDefault="00EF124D" w:rsidP="00F72EC3">
      <w:pPr>
        <w:pStyle w:val="Paragraphedeliste"/>
        <w:numPr>
          <w:ilvl w:val="1"/>
          <w:numId w:val="3"/>
        </w:numPr>
        <w:spacing w:after="80"/>
        <w:contextualSpacing w:val="0"/>
        <w:jc w:val="both"/>
      </w:pPr>
      <w:r>
        <w:t>Développer l’immersion et la mise en situation de travail, le parrainage et la rencontre des employeurs avec les personnes handicapées.</w:t>
      </w:r>
    </w:p>
    <w:p w:rsidR="00D52DBE" w:rsidRDefault="00D52DBE" w:rsidP="00D52DBE">
      <w:pPr>
        <w:spacing w:after="80"/>
        <w:jc w:val="both"/>
      </w:pPr>
    </w:p>
    <w:p w:rsidR="00EB3019" w:rsidRDefault="00550A34" w:rsidP="00D52DBE">
      <w:pPr>
        <w:pStyle w:val="Paragraphedeliste"/>
        <w:numPr>
          <w:ilvl w:val="0"/>
          <w:numId w:val="3"/>
        </w:numPr>
        <w:spacing w:after="80"/>
        <w:contextualSpacing w:val="0"/>
        <w:jc w:val="both"/>
      </w:pPr>
      <w:r>
        <w:t xml:space="preserve">C) Transition école </w:t>
      </w:r>
      <w:r w:rsidR="00EB3019" w:rsidRPr="002B25BB">
        <w:t>–</w:t>
      </w:r>
      <w:r w:rsidR="002B25BB" w:rsidRPr="002B25BB">
        <w:t xml:space="preserve"> </w:t>
      </w:r>
      <w:r w:rsidR="00EB3019" w:rsidRPr="002B25BB">
        <w:t>insertion professionnelle</w:t>
      </w:r>
      <w:r>
        <w:t xml:space="preserve">: </w:t>
      </w:r>
    </w:p>
    <w:p w:rsidR="00D52DBE" w:rsidRDefault="00D52DBE" w:rsidP="00EB3019">
      <w:pPr>
        <w:pStyle w:val="Paragraphedeliste"/>
        <w:numPr>
          <w:ilvl w:val="1"/>
          <w:numId w:val="3"/>
        </w:numPr>
        <w:spacing w:after="80"/>
        <w:jc w:val="both"/>
      </w:pPr>
      <w:r w:rsidRPr="00991D46">
        <w:t>l’organisation d’actions et la structuration des acteurs visant la transition et le passage de l’école et des établissements éducatifs spécialisés au monde d</w:t>
      </w:r>
      <w:r w:rsidR="00550A34">
        <w:t xml:space="preserve">e l’insertion et du </w:t>
      </w:r>
      <w:r w:rsidRPr="00991D46">
        <w:t>travail</w:t>
      </w:r>
      <w:r w:rsidR="00EB3019">
        <w:t xml:space="preserve"> </w:t>
      </w:r>
    </w:p>
    <w:p w:rsidR="00EB3019" w:rsidRPr="002B25BB" w:rsidRDefault="00EB3019" w:rsidP="00EB3019">
      <w:pPr>
        <w:pStyle w:val="Paragraphedeliste"/>
        <w:numPr>
          <w:ilvl w:val="1"/>
          <w:numId w:val="3"/>
        </w:numPr>
        <w:spacing w:after="80"/>
        <w:jc w:val="both"/>
      </w:pPr>
      <w:r w:rsidRPr="002B25BB">
        <w:t xml:space="preserve">actions permettant d’assurer le lien avec les dispositifs de droit commun dans une logique soit d’éviter le décrochage scolaire soit de faciliter une action de </w:t>
      </w:r>
      <w:r w:rsidR="00780EC4" w:rsidRPr="002B25BB">
        <w:t>« </w:t>
      </w:r>
      <w:r w:rsidRPr="002B25BB">
        <w:t>raccrochage</w:t>
      </w:r>
      <w:r w:rsidR="00780EC4" w:rsidRPr="002B25BB">
        <w:t> »</w:t>
      </w:r>
      <w:r w:rsidRPr="002B25BB">
        <w:t xml:space="preserve"> </w:t>
      </w:r>
      <w:r w:rsidR="00780EC4" w:rsidRPr="002B25BB">
        <w:t xml:space="preserve">à un parcours </w:t>
      </w:r>
      <w:r w:rsidRPr="002B25BB">
        <w:t xml:space="preserve">notamment pour les 16-18 ans dans le cadre de l’obligation de formation mise en </w:t>
      </w:r>
      <w:r w:rsidR="00780EC4" w:rsidRPr="002B25BB">
        <w:t>œuvre</w:t>
      </w:r>
      <w:r w:rsidRPr="002B25BB">
        <w:t xml:space="preserve"> à compter de l’</w:t>
      </w:r>
      <w:r w:rsidR="00780EC4" w:rsidRPr="002B25BB">
        <w:t>automne</w:t>
      </w:r>
      <w:r w:rsidRPr="002B25BB">
        <w:t xml:space="preserve"> 2020.</w:t>
      </w:r>
    </w:p>
    <w:p w:rsidR="004A432A" w:rsidRDefault="004A432A" w:rsidP="004A432A">
      <w:pPr>
        <w:pStyle w:val="Paragraphedeliste"/>
        <w:spacing w:after="80"/>
        <w:ind w:left="1440"/>
        <w:jc w:val="both"/>
      </w:pPr>
    </w:p>
    <w:p w:rsidR="004A432A" w:rsidRDefault="004A432A" w:rsidP="004A432A">
      <w:pPr>
        <w:pStyle w:val="Paragraphedeliste"/>
        <w:numPr>
          <w:ilvl w:val="0"/>
          <w:numId w:val="3"/>
        </w:numPr>
        <w:spacing w:after="80"/>
        <w:contextualSpacing w:val="0"/>
        <w:jc w:val="both"/>
      </w:pPr>
      <w:r>
        <w:t>D) Adaptation et innovation sur les modalités d’accompagnement, expérimentation, association des bénéficiaires, valorisation et diffusion des expériences réussies :</w:t>
      </w:r>
    </w:p>
    <w:p w:rsidR="004A432A" w:rsidRDefault="004A432A" w:rsidP="004A432A">
      <w:pPr>
        <w:pStyle w:val="Paragraphedeliste"/>
        <w:numPr>
          <w:ilvl w:val="1"/>
          <w:numId w:val="3"/>
        </w:numPr>
        <w:spacing w:after="80"/>
        <w:contextualSpacing w:val="0"/>
        <w:jc w:val="both"/>
      </w:pPr>
      <w:r>
        <w:t xml:space="preserve">Mise au point de nouvelles approches et outils d’accompagnement tenant compte des spécificités du handicap (exemples : </w:t>
      </w:r>
      <w:r w:rsidRPr="00991D46">
        <w:t>handicap psychique ou cognitif</w:t>
      </w:r>
      <w:r>
        <w:t xml:space="preserve"> - </w:t>
      </w:r>
      <w:r w:rsidRPr="00991D46">
        <w:t>troubles du spectre autistique TSA</w:t>
      </w:r>
      <w:r>
        <w:t xml:space="preserve"> - </w:t>
      </w:r>
      <w:r w:rsidRPr="00991D46">
        <w:t>travailleurs seniors + 50 ans</w:t>
      </w:r>
      <w:r>
        <w:t xml:space="preserve"> et  </w:t>
      </w:r>
      <w:r w:rsidRPr="00991D46">
        <w:t>+ 55 ans</w:t>
      </w:r>
      <w:r>
        <w:t xml:space="preserve"> - </w:t>
      </w:r>
      <w:r w:rsidRPr="00991D46">
        <w:t>travailleurs de très faibles niveaux de qualification niveaux V et infra</w:t>
      </w:r>
      <w:r>
        <w:t>,…</w:t>
      </w:r>
      <w:r w:rsidRPr="00991D46">
        <w:t>)</w:t>
      </w:r>
    </w:p>
    <w:p w:rsidR="004A432A" w:rsidRDefault="004A432A" w:rsidP="004A432A">
      <w:pPr>
        <w:pStyle w:val="Paragraphedeliste"/>
        <w:numPr>
          <w:ilvl w:val="1"/>
          <w:numId w:val="3"/>
        </w:numPr>
        <w:spacing w:after="80"/>
        <w:contextualSpacing w:val="0"/>
        <w:jc w:val="both"/>
      </w:pPr>
      <w:r>
        <w:t xml:space="preserve">Définir et expérimenter des modalités de participation et d’association des bénéficiaires à la construction d’action </w:t>
      </w:r>
    </w:p>
    <w:p w:rsidR="004A432A" w:rsidRDefault="004A432A" w:rsidP="004A432A">
      <w:pPr>
        <w:pStyle w:val="Paragraphedeliste"/>
        <w:numPr>
          <w:ilvl w:val="1"/>
          <w:numId w:val="3"/>
        </w:numPr>
        <w:spacing w:after="80"/>
        <w:contextualSpacing w:val="0"/>
        <w:jc w:val="both"/>
      </w:pPr>
      <w:r>
        <w:t xml:space="preserve">Développement </w:t>
      </w:r>
      <w:r w:rsidRPr="00991D46">
        <w:t>de modalités adaptées et innovantes permettant une prise en charge accélérée des travailleurs en risque de licenciement pour inaptitude et la prévention des ruptures professionnelles</w:t>
      </w:r>
      <w:r>
        <w:t xml:space="preserve"> </w:t>
      </w:r>
    </w:p>
    <w:p w:rsidR="00D52DBE" w:rsidRDefault="00D52DBE" w:rsidP="00D52DBE">
      <w:pPr>
        <w:spacing w:after="80"/>
        <w:ind w:left="360"/>
        <w:jc w:val="both"/>
      </w:pPr>
    </w:p>
    <w:p w:rsidR="00C43E5B" w:rsidRDefault="00EB3019" w:rsidP="00D62C44">
      <w:pPr>
        <w:pStyle w:val="Paragraphedeliste"/>
        <w:numPr>
          <w:ilvl w:val="0"/>
          <w:numId w:val="3"/>
        </w:numPr>
        <w:spacing w:after="80"/>
        <w:ind w:left="714" w:hanging="357"/>
        <w:contextualSpacing w:val="0"/>
        <w:jc w:val="both"/>
      </w:pPr>
      <w:r>
        <w:t>E</w:t>
      </w:r>
      <w:r w:rsidR="004A432A">
        <w:t xml:space="preserve">) </w:t>
      </w:r>
      <w:r w:rsidR="00550A34">
        <w:t>P</w:t>
      </w:r>
      <w:r w:rsidR="00D62C44" w:rsidRPr="00991D46">
        <w:t xml:space="preserve">roposition </w:t>
      </w:r>
      <w:r w:rsidR="00550A34">
        <w:t xml:space="preserve">éventuelle </w:t>
      </w:r>
      <w:r w:rsidR="00D62C44" w:rsidRPr="00991D46">
        <w:t>d’étude</w:t>
      </w:r>
      <w:r w:rsidR="00550A34">
        <w:t>-</w:t>
      </w:r>
      <w:r w:rsidR="00D62C44" w:rsidRPr="00991D46">
        <w:t xml:space="preserve">action permettant l’approfondissement d’une problématique, la connaissance des acteurs institutionnels et opérationnels de la </w:t>
      </w:r>
      <w:r w:rsidR="00D62C44" w:rsidRPr="00991D46">
        <w:lastRenderedPageBreak/>
        <w:t xml:space="preserve">problématique, la mise au point et l’appropriation des modalités opérationnelles de coopération, l’information et la professionnalisation des acteurs concernés  </w:t>
      </w:r>
    </w:p>
    <w:p w:rsidR="00372453" w:rsidRDefault="00372453" w:rsidP="00372453">
      <w:pPr>
        <w:spacing w:after="80"/>
        <w:ind w:left="357"/>
        <w:jc w:val="both"/>
      </w:pPr>
    </w:p>
    <w:p w:rsidR="004A432A" w:rsidRDefault="00372453" w:rsidP="00372453">
      <w:pPr>
        <w:spacing w:after="80"/>
        <w:ind w:left="357"/>
        <w:jc w:val="both"/>
      </w:pPr>
      <w:r>
        <w:t xml:space="preserve">D’une façon transversale, une attention particulière sera portée aux projets </w:t>
      </w:r>
    </w:p>
    <w:p w:rsidR="0096138A" w:rsidRPr="00816707" w:rsidRDefault="00372453" w:rsidP="004A432A">
      <w:pPr>
        <w:pStyle w:val="Paragraphedeliste"/>
        <w:numPr>
          <w:ilvl w:val="1"/>
          <w:numId w:val="3"/>
        </w:numPr>
        <w:spacing w:after="80"/>
        <w:jc w:val="both"/>
        <w:rPr>
          <w:color w:val="000000" w:themeColor="text1"/>
        </w:rPr>
      </w:pPr>
      <w:r w:rsidRPr="00816707">
        <w:rPr>
          <w:color w:val="000000" w:themeColor="text1"/>
        </w:rPr>
        <w:t xml:space="preserve">localisés et qui concernent des publics </w:t>
      </w:r>
      <w:r w:rsidR="00816707">
        <w:rPr>
          <w:color w:val="000000" w:themeColor="text1"/>
        </w:rPr>
        <w:t xml:space="preserve">handicapées résidant en </w:t>
      </w:r>
      <w:r w:rsidRPr="00816707">
        <w:rPr>
          <w:color w:val="000000" w:themeColor="text1"/>
        </w:rPr>
        <w:t xml:space="preserve">QPV (quartiers de la politique de la ville) </w:t>
      </w:r>
      <w:r w:rsidR="00816707">
        <w:rPr>
          <w:color w:val="000000" w:themeColor="text1"/>
        </w:rPr>
        <w:t>ou en</w:t>
      </w:r>
      <w:r w:rsidRPr="00816707">
        <w:rPr>
          <w:color w:val="000000" w:themeColor="text1"/>
        </w:rPr>
        <w:t xml:space="preserve"> ZRR (zones de revitalisation rurale).</w:t>
      </w:r>
      <w:r w:rsidR="00816707" w:rsidRPr="00816707">
        <w:rPr>
          <w:color w:val="000000" w:themeColor="text1"/>
        </w:rPr>
        <w:t> </w:t>
      </w:r>
    </w:p>
    <w:p w:rsidR="004A432A" w:rsidRDefault="004A432A" w:rsidP="004A432A">
      <w:pPr>
        <w:pStyle w:val="Paragraphedeliste"/>
        <w:numPr>
          <w:ilvl w:val="1"/>
          <w:numId w:val="3"/>
        </w:numPr>
        <w:spacing w:after="80"/>
        <w:jc w:val="both"/>
      </w:pPr>
      <w:r>
        <w:t>construit</w:t>
      </w:r>
      <w:r w:rsidR="00816707">
        <w:t>s</w:t>
      </w:r>
      <w:r>
        <w:t xml:space="preserve"> en associant les personnes handicapées</w:t>
      </w:r>
      <w:r w:rsidR="00816707">
        <w:t>.</w:t>
      </w:r>
    </w:p>
    <w:p w:rsidR="00372453" w:rsidRPr="00991D46" w:rsidRDefault="00372453" w:rsidP="00372453">
      <w:pPr>
        <w:spacing w:after="80"/>
        <w:ind w:left="357"/>
        <w:jc w:val="both"/>
      </w:pPr>
    </w:p>
    <w:p w:rsidR="00E51D4B" w:rsidRPr="00991D46" w:rsidRDefault="00E51D4B" w:rsidP="00E51D4B">
      <w:pPr>
        <w:pStyle w:val="Paragraphedeliste"/>
        <w:numPr>
          <w:ilvl w:val="0"/>
          <w:numId w:val="1"/>
        </w:numPr>
        <w:jc w:val="both"/>
        <w:rPr>
          <w:b/>
        </w:rPr>
      </w:pPr>
      <w:r w:rsidRPr="00991D46">
        <w:rPr>
          <w:b/>
        </w:rPr>
        <w:t xml:space="preserve">Types </w:t>
      </w:r>
      <w:r w:rsidR="00100C42" w:rsidRPr="00991D46">
        <w:rPr>
          <w:b/>
        </w:rPr>
        <w:t>d’actions</w:t>
      </w:r>
    </w:p>
    <w:p w:rsidR="003F50A2" w:rsidRPr="00991D46" w:rsidRDefault="00D62C44" w:rsidP="00EC5CED">
      <w:pPr>
        <w:spacing w:before="40" w:after="120"/>
        <w:ind w:left="357"/>
        <w:jc w:val="both"/>
      </w:pPr>
      <w:r w:rsidRPr="00991D46">
        <w:t>Pour les o</w:t>
      </w:r>
      <w:r w:rsidR="00BE76C9" w:rsidRPr="00991D46">
        <w:t>bjectif</w:t>
      </w:r>
      <w:r w:rsidR="003F50A2" w:rsidRPr="00991D46">
        <w:t>s</w:t>
      </w:r>
      <w:r w:rsidR="00C01313" w:rsidRPr="00991D46">
        <w:t xml:space="preserve"> </w:t>
      </w:r>
      <w:r w:rsidR="00550A34">
        <w:t>A</w:t>
      </w:r>
      <w:r w:rsidRPr="00991D46">
        <w:t xml:space="preserve"> à </w:t>
      </w:r>
      <w:r w:rsidR="00550A34">
        <w:t>D</w:t>
      </w:r>
      <w:r w:rsidRPr="00991D46">
        <w:t xml:space="preserve">, </w:t>
      </w:r>
      <w:r w:rsidR="00B0649A" w:rsidRPr="00991D46">
        <w:t xml:space="preserve">l’action s’adresse à des personnes bénéficiaires. Mais elle contribuera également dans la </w:t>
      </w:r>
      <w:r w:rsidR="00207A89" w:rsidRPr="00991D46">
        <w:t>majeure</w:t>
      </w:r>
      <w:r w:rsidR="00B0649A" w:rsidRPr="00991D46">
        <w:t xml:space="preserve"> partie des cas </w:t>
      </w:r>
      <w:r w:rsidR="00100C42" w:rsidRPr="00991D46">
        <w:t>à l’évolution d</w:t>
      </w:r>
      <w:r w:rsidR="00E239BD" w:rsidRPr="00991D46">
        <w:t>es systèmes et</w:t>
      </w:r>
      <w:r w:rsidR="00BE76C9" w:rsidRPr="00991D46">
        <w:t xml:space="preserve"> / ou</w:t>
      </w:r>
      <w:r w:rsidR="00E239BD" w:rsidRPr="00991D46">
        <w:t xml:space="preserve"> </w:t>
      </w:r>
      <w:r w:rsidR="00100C42" w:rsidRPr="00991D46">
        <w:t>d</w:t>
      </w:r>
      <w:r w:rsidR="00BE76C9" w:rsidRPr="00991D46">
        <w:t xml:space="preserve">es </w:t>
      </w:r>
      <w:r w:rsidR="00E239BD" w:rsidRPr="00991D46">
        <w:t>modes</w:t>
      </w:r>
      <w:r w:rsidR="00BE76C9" w:rsidRPr="00991D46">
        <w:t xml:space="preserve"> de collaboration entre acteurs</w:t>
      </w:r>
      <w:r w:rsidR="00B0649A" w:rsidRPr="00991D46">
        <w:t>.</w:t>
      </w:r>
      <w:r w:rsidR="00BE76C9" w:rsidRPr="00991D46">
        <w:t xml:space="preserve"> </w:t>
      </w:r>
      <w:r w:rsidR="00B0649A" w:rsidRPr="00991D46">
        <w:t xml:space="preserve">Pour cette dimension système-acteurs, il est important que </w:t>
      </w:r>
      <w:r w:rsidR="00BE76C9" w:rsidRPr="00991D46">
        <w:t>l’organisme candidat indique les modalités de modélisa</w:t>
      </w:r>
      <w:r w:rsidR="003F50A2" w:rsidRPr="00991D46">
        <w:t>tion</w:t>
      </w:r>
      <w:r w:rsidR="001B2698" w:rsidRPr="00991D46">
        <w:t xml:space="preserve"> et, le cas échant, de transfert</w:t>
      </w:r>
      <w:r w:rsidR="003F50A2" w:rsidRPr="00991D46">
        <w:t xml:space="preserve"> de l</w:t>
      </w:r>
      <w:r w:rsidR="007067B8" w:rsidRPr="00991D46">
        <w:t>’action</w:t>
      </w:r>
      <w:r w:rsidR="003F50A2" w:rsidRPr="00991D46">
        <w:t xml:space="preserve"> développée</w:t>
      </w:r>
      <w:r w:rsidR="007067B8" w:rsidRPr="00991D46">
        <w:t xml:space="preserve"> (méthode, outils, conditions d’élargissement ou de déploiement…)</w:t>
      </w:r>
      <w:r w:rsidR="00BE76C9" w:rsidRPr="00991D46">
        <w:t>.</w:t>
      </w:r>
    </w:p>
    <w:p w:rsidR="00B0649A" w:rsidRPr="00991D46" w:rsidRDefault="00AC5E22" w:rsidP="00EC5CED">
      <w:pPr>
        <w:spacing w:before="40" w:after="120"/>
        <w:ind w:left="357"/>
        <w:jc w:val="both"/>
      </w:pPr>
      <w:r>
        <w:t>Pour</w:t>
      </w:r>
      <w:r w:rsidR="00B0649A" w:rsidRPr="00991D46">
        <w:t xml:space="preserve"> tous les types et contenus d’action, </w:t>
      </w:r>
      <w:r w:rsidR="00B0649A" w:rsidRPr="004C13BA">
        <w:rPr>
          <w:b/>
        </w:rPr>
        <w:t xml:space="preserve">il est demandé à l’organisme candidat de définir </w:t>
      </w:r>
      <w:r w:rsidR="004C13BA" w:rsidRPr="004C13BA">
        <w:rPr>
          <w:b/>
        </w:rPr>
        <w:t xml:space="preserve">et quantifier </w:t>
      </w:r>
      <w:r w:rsidR="00B0649A" w:rsidRPr="004C13BA">
        <w:rPr>
          <w:b/>
        </w:rPr>
        <w:t>des indicateurs précis, clairs dans leur appréhension et mes</w:t>
      </w:r>
      <w:r w:rsidR="00AD7069" w:rsidRPr="004C13BA">
        <w:rPr>
          <w:b/>
        </w:rPr>
        <w:t>u</w:t>
      </w:r>
      <w:r w:rsidR="00B0649A" w:rsidRPr="004C13BA">
        <w:rPr>
          <w:b/>
        </w:rPr>
        <w:t>rable</w:t>
      </w:r>
      <w:r w:rsidR="00816707" w:rsidRPr="002B25BB">
        <w:rPr>
          <w:b/>
        </w:rPr>
        <w:t>s</w:t>
      </w:r>
      <w:r w:rsidR="00AD7069" w:rsidRPr="00816707">
        <w:rPr>
          <w:b/>
          <w:color w:val="FF0000"/>
        </w:rPr>
        <w:t xml:space="preserve"> </w:t>
      </w:r>
      <w:r w:rsidR="00AD7069" w:rsidRPr="004C13BA">
        <w:rPr>
          <w:b/>
        </w:rPr>
        <w:t xml:space="preserve">dans leur volumétrie </w:t>
      </w:r>
      <w:r w:rsidR="00AD7069" w:rsidRPr="00991D46">
        <w:t>(par type d’action si nécessaire).</w:t>
      </w:r>
      <w:r w:rsidR="00B0649A" w:rsidRPr="00991D46">
        <w:t xml:space="preserve"> </w:t>
      </w:r>
    </w:p>
    <w:p w:rsidR="007E0C7D" w:rsidRPr="00991D46" w:rsidRDefault="00AD7069" w:rsidP="00EC5CED">
      <w:pPr>
        <w:spacing w:before="40" w:after="120"/>
        <w:ind w:left="357"/>
        <w:jc w:val="both"/>
      </w:pPr>
      <w:r w:rsidRPr="00991D46">
        <w:t xml:space="preserve">L’objectif </w:t>
      </w:r>
      <w:r w:rsidR="002B25BB">
        <w:t>E</w:t>
      </w:r>
      <w:r w:rsidR="00372453">
        <w:t xml:space="preserve"> </w:t>
      </w:r>
      <w:r w:rsidR="009E3BAE" w:rsidRPr="00991D46">
        <w:t>p</w:t>
      </w:r>
      <w:r w:rsidR="00372453">
        <w:t>eut p</w:t>
      </w:r>
      <w:r w:rsidR="009E3BAE" w:rsidRPr="00991D46">
        <w:t>rend</w:t>
      </w:r>
      <w:r w:rsidR="00372453">
        <w:t>re</w:t>
      </w:r>
      <w:r w:rsidR="009E3BAE" w:rsidRPr="00991D46">
        <w:t xml:space="preserve"> la forme d’une étude avec propositions d’actions à visée opérationnelle.</w:t>
      </w:r>
      <w:r w:rsidR="003F50A2" w:rsidRPr="00991D46">
        <w:t xml:space="preserve"> </w:t>
      </w:r>
    </w:p>
    <w:p w:rsidR="00361745" w:rsidRPr="00991D46" w:rsidRDefault="00361745" w:rsidP="00EC5CED">
      <w:pPr>
        <w:spacing w:before="40" w:after="120"/>
        <w:ind w:left="357"/>
        <w:jc w:val="both"/>
      </w:pPr>
    </w:p>
    <w:p w:rsidR="0015272A" w:rsidRPr="00991D46" w:rsidRDefault="00962928" w:rsidP="008F6B2F">
      <w:pPr>
        <w:pStyle w:val="Paragraphedeliste"/>
        <w:numPr>
          <w:ilvl w:val="0"/>
          <w:numId w:val="1"/>
        </w:numPr>
        <w:jc w:val="both"/>
        <w:rPr>
          <w:b/>
        </w:rPr>
      </w:pPr>
      <w:r w:rsidRPr="00991D46">
        <w:rPr>
          <w:b/>
        </w:rPr>
        <w:t>Territoire d’impact de l’action</w:t>
      </w:r>
    </w:p>
    <w:p w:rsidR="00232543" w:rsidRPr="00991D46" w:rsidRDefault="00B56D46" w:rsidP="00232543">
      <w:pPr>
        <w:ind w:left="360"/>
        <w:jc w:val="both"/>
      </w:pPr>
      <w:r w:rsidRPr="00991D46">
        <w:t xml:space="preserve">L’action proposée par l’organisme </w:t>
      </w:r>
      <w:r w:rsidR="00C17E28" w:rsidRPr="00991D46">
        <w:t xml:space="preserve">candidat </w:t>
      </w:r>
      <w:r w:rsidR="000D761C" w:rsidRPr="00991D46">
        <w:t xml:space="preserve">produit ses principaux effets sur le territoire correspondant à la région </w:t>
      </w:r>
      <w:r w:rsidR="00053B8A" w:rsidRPr="00991D46">
        <w:t>Auvergne-</w:t>
      </w:r>
      <w:r w:rsidR="000D761C" w:rsidRPr="00991D46">
        <w:t>Rhône-Alpes</w:t>
      </w:r>
      <w:r w:rsidR="00053B8A" w:rsidRPr="00991D46">
        <w:t>.</w:t>
      </w:r>
      <w:r w:rsidR="00502F41">
        <w:t xml:space="preserve"> </w:t>
      </w:r>
    </w:p>
    <w:p w:rsidR="00B56D46" w:rsidRDefault="000D761C" w:rsidP="00B56D46">
      <w:pPr>
        <w:ind w:left="360"/>
        <w:jc w:val="both"/>
      </w:pPr>
      <w:r w:rsidRPr="00991D46">
        <w:t xml:space="preserve">Son impact peut donc être </w:t>
      </w:r>
      <w:r w:rsidR="00207A89" w:rsidRPr="00991D46">
        <w:t xml:space="preserve">infra-départemental, départemental, pluri-départemental ou régional </w:t>
      </w:r>
      <w:r w:rsidRPr="00991D46">
        <w:t xml:space="preserve">au sens de la </w:t>
      </w:r>
      <w:r w:rsidR="00053B8A" w:rsidRPr="00991D46">
        <w:t>région Auvergne-</w:t>
      </w:r>
      <w:r w:rsidR="00CD673A" w:rsidRPr="00991D46">
        <w:t>Rhône-Alpes</w:t>
      </w:r>
      <w:r w:rsidRPr="00991D46">
        <w:t>.</w:t>
      </w:r>
    </w:p>
    <w:p w:rsidR="00502F41" w:rsidRPr="00991D46" w:rsidRDefault="00502F41" w:rsidP="00502F41">
      <w:pPr>
        <w:ind w:left="360"/>
        <w:jc w:val="both"/>
      </w:pPr>
    </w:p>
    <w:p w:rsidR="00980C41" w:rsidRPr="00991D46" w:rsidRDefault="00980C41" w:rsidP="00980C41">
      <w:pPr>
        <w:pStyle w:val="Paragraphedeliste"/>
        <w:numPr>
          <w:ilvl w:val="0"/>
          <w:numId w:val="1"/>
        </w:numPr>
        <w:jc w:val="both"/>
        <w:rPr>
          <w:b/>
        </w:rPr>
      </w:pPr>
      <w:r w:rsidRPr="00991D46">
        <w:rPr>
          <w:b/>
        </w:rPr>
        <w:t>Organismes éligibles</w:t>
      </w:r>
    </w:p>
    <w:p w:rsidR="00980C41" w:rsidRPr="00991D46" w:rsidRDefault="00980C41" w:rsidP="00980C41">
      <w:pPr>
        <w:ind w:left="360"/>
        <w:jc w:val="both"/>
      </w:pPr>
      <w:r w:rsidRPr="00991D46">
        <w:t>Tout organisme</w:t>
      </w:r>
      <w:r w:rsidR="00EC5CED" w:rsidRPr="00991D46">
        <w:t>, personne morale légalement constituée,</w:t>
      </w:r>
      <w:r w:rsidRPr="00991D46">
        <w:t xml:space="preserve"> souhaitant promouvoir une action dont les objectifs conc</w:t>
      </w:r>
      <w:r w:rsidR="00CF4DB7" w:rsidRPr="00991D46">
        <w:t>ourent à ceux définis au point 1</w:t>
      </w:r>
      <w:r w:rsidR="00A51FCF" w:rsidRPr="00991D46">
        <w:t>)</w:t>
      </w:r>
      <w:r w:rsidRPr="00991D46">
        <w:t xml:space="preserve"> peut </w:t>
      </w:r>
      <w:r w:rsidR="00CD673A" w:rsidRPr="00991D46">
        <w:t>se porter candidat</w:t>
      </w:r>
      <w:r w:rsidRPr="00991D46">
        <w:t xml:space="preserve"> dans le cadre du présent appel à propositions.</w:t>
      </w:r>
    </w:p>
    <w:p w:rsidR="00980C41" w:rsidRPr="00991D46" w:rsidRDefault="00980C41" w:rsidP="00980C41">
      <w:pPr>
        <w:ind w:left="360"/>
        <w:jc w:val="both"/>
      </w:pPr>
      <w:r w:rsidRPr="00991D46">
        <w:t>L’or</w:t>
      </w:r>
      <w:r w:rsidR="00C17E28" w:rsidRPr="00991D46">
        <w:t xml:space="preserve">ganisme dispose </w:t>
      </w:r>
      <w:r w:rsidRPr="00991D46">
        <w:t xml:space="preserve">d’une expérience significative </w:t>
      </w:r>
      <w:r w:rsidR="00685449" w:rsidRPr="00991D46">
        <w:t>dans le domaine</w:t>
      </w:r>
      <w:r w:rsidR="00402D82" w:rsidRPr="00991D46">
        <w:t xml:space="preserve"> de l’emploi </w:t>
      </w:r>
      <w:r w:rsidR="00EE53AD" w:rsidRPr="00991D46">
        <w:t xml:space="preserve">et de la formation </w:t>
      </w:r>
      <w:r w:rsidR="00402D82" w:rsidRPr="00991D46">
        <w:t>des travailleurs handicapés et de la relation partenariale avec les acteurs territoriaux</w:t>
      </w:r>
      <w:r w:rsidR="00685449" w:rsidRPr="00991D46">
        <w:t xml:space="preserve"> intervenant dans ce même domaine.</w:t>
      </w:r>
    </w:p>
    <w:p w:rsidR="00B56D46" w:rsidRDefault="00B56D46" w:rsidP="00C6529E">
      <w:pPr>
        <w:spacing w:after="0"/>
        <w:ind w:left="357"/>
        <w:jc w:val="both"/>
      </w:pPr>
    </w:p>
    <w:p w:rsidR="002B25BB" w:rsidRDefault="002B25BB" w:rsidP="00C6529E">
      <w:pPr>
        <w:spacing w:after="0"/>
        <w:ind w:left="357"/>
        <w:jc w:val="both"/>
      </w:pPr>
    </w:p>
    <w:p w:rsidR="002B25BB" w:rsidRDefault="002B25BB" w:rsidP="00C6529E">
      <w:pPr>
        <w:spacing w:after="0"/>
        <w:ind w:left="357"/>
        <w:jc w:val="both"/>
      </w:pPr>
    </w:p>
    <w:p w:rsidR="002B25BB" w:rsidRPr="00991D46" w:rsidRDefault="002B25BB" w:rsidP="00C6529E">
      <w:pPr>
        <w:spacing w:after="0"/>
        <w:ind w:left="357"/>
        <w:jc w:val="both"/>
      </w:pPr>
    </w:p>
    <w:p w:rsidR="00402D82" w:rsidRPr="00991D46" w:rsidRDefault="009F2127" w:rsidP="00402D82">
      <w:pPr>
        <w:pStyle w:val="Paragraphedeliste"/>
        <w:numPr>
          <w:ilvl w:val="0"/>
          <w:numId w:val="1"/>
        </w:numPr>
        <w:jc w:val="both"/>
        <w:rPr>
          <w:b/>
        </w:rPr>
      </w:pPr>
      <w:r w:rsidRPr="00991D46">
        <w:rPr>
          <w:b/>
        </w:rPr>
        <w:lastRenderedPageBreak/>
        <w:t>Critères de sélection</w:t>
      </w:r>
    </w:p>
    <w:p w:rsidR="00402D82" w:rsidRPr="00991D46" w:rsidRDefault="00CD673A" w:rsidP="00402D82">
      <w:pPr>
        <w:ind w:left="360"/>
        <w:jc w:val="both"/>
      </w:pPr>
      <w:r w:rsidRPr="00991D46">
        <w:t>L’action s’inscrit dans le respect des interventions des acteurs présents sur son territoire, c’est-à-dire le territoire sur lequel elle produit ses principaux effets.</w:t>
      </w:r>
      <w:r w:rsidR="009C2B30" w:rsidRPr="00991D46">
        <w:t xml:space="preserve"> Elle présente une valeur ajoutée au regard des interventions dites de droit commun </w:t>
      </w:r>
      <w:r w:rsidR="00035963" w:rsidRPr="00991D46">
        <w:t xml:space="preserve">existantes </w:t>
      </w:r>
      <w:r w:rsidR="009C2B30" w:rsidRPr="00991D46">
        <w:t>dans le domaine concerné.</w:t>
      </w:r>
    </w:p>
    <w:p w:rsidR="00402D82" w:rsidRPr="00991D46" w:rsidRDefault="00100C42" w:rsidP="00402D82">
      <w:pPr>
        <w:ind w:left="360"/>
        <w:jc w:val="both"/>
      </w:pPr>
      <w:r w:rsidRPr="00991D46">
        <w:t>L’action est cohérente</w:t>
      </w:r>
      <w:r w:rsidR="00402D82" w:rsidRPr="00991D46">
        <w:t xml:space="preserve"> avec le schéma d’i</w:t>
      </w:r>
      <w:r w:rsidRPr="00991D46">
        <w:t xml:space="preserve">ntervention de l’Etat en région, </w:t>
      </w:r>
      <w:r w:rsidR="005A01C1" w:rsidRPr="00991D46">
        <w:t xml:space="preserve">avec l’organisation et </w:t>
      </w:r>
      <w:r w:rsidR="00CD5FD7" w:rsidRPr="00991D46">
        <w:t xml:space="preserve">l’action </w:t>
      </w:r>
      <w:r w:rsidRPr="00991D46">
        <w:t xml:space="preserve">du </w:t>
      </w:r>
      <w:r w:rsidR="00CD5FD7" w:rsidRPr="00991D46">
        <w:t>service public de l’emploi</w:t>
      </w:r>
      <w:r w:rsidR="005A01C1" w:rsidRPr="00991D46">
        <w:t>,</w:t>
      </w:r>
      <w:r w:rsidR="00CD5FD7" w:rsidRPr="00991D46">
        <w:t xml:space="preserve"> ainsi qu’ave</w:t>
      </w:r>
      <w:r w:rsidR="008034CF" w:rsidRPr="00991D46">
        <w:t>c les orientations arrêtées au titre de</w:t>
      </w:r>
      <w:r w:rsidRPr="00991D46">
        <w:t xml:space="preserve"> la stratégie régionale de l’emploi pour la période.</w:t>
      </w:r>
    </w:p>
    <w:p w:rsidR="00402D82" w:rsidRPr="00991D46" w:rsidRDefault="00035963" w:rsidP="00402D82">
      <w:pPr>
        <w:ind w:left="360"/>
        <w:jc w:val="both"/>
      </w:pPr>
      <w:r w:rsidRPr="00991D46">
        <w:t>Outre la définition du projet dans son contenu et ses modalités principales, l’a</w:t>
      </w:r>
      <w:r w:rsidR="00EE53AD" w:rsidRPr="00991D46">
        <w:t xml:space="preserve">ppréciation de l’intérêt et </w:t>
      </w:r>
      <w:r w:rsidR="009E5F2A" w:rsidRPr="00991D46">
        <w:t xml:space="preserve">de </w:t>
      </w:r>
      <w:r w:rsidR="00EE53AD" w:rsidRPr="00991D46">
        <w:t xml:space="preserve">la qualité des </w:t>
      </w:r>
      <w:r w:rsidRPr="00991D46">
        <w:t>actions sera également appréhendé</w:t>
      </w:r>
      <w:r w:rsidR="009E5F2A" w:rsidRPr="00991D46">
        <w:t>e</w:t>
      </w:r>
      <w:r w:rsidRPr="00991D46">
        <w:t xml:space="preserve"> d’une manière transversale en fonction des </w:t>
      </w:r>
      <w:r w:rsidR="00EE53AD" w:rsidRPr="00991D46">
        <w:t xml:space="preserve">dimensions d’innovation, de maillage des acteurs, de visibilité et diffusion, et </w:t>
      </w:r>
      <w:r w:rsidRPr="00991D46">
        <w:t xml:space="preserve">également au regard des modalités d’implication des </w:t>
      </w:r>
      <w:r w:rsidR="00EE53AD" w:rsidRPr="00991D46">
        <w:t>personnes handicapées à la définition et au suivi des actions</w:t>
      </w:r>
      <w:r w:rsidRPr="00991D46">
        <w:t>.</w:t>
      </w:r>
    </w:p>
    <w:p w:rsidR="00B56D46" w:rsidRDefault="00B56D46" w:rsidP="00C6529E">
      <w:pPr>
        <w:spacing w:after="0"/>
        <w:jc w:val="both"/>
      </w:pPr>
    </w:p>
    <w:p w:rsidR="0015272A" w:rsidRPr="00991D46" w:rsidRDefault="00D32036" w:rsidP="008F6B2F">
      <w:pPr>
        <w:pStyle w:val="Paragraphedeliste"/>
        <w:numPr>
          <w:ilvl w:val="0"/>
          <w:numId w:val="1"/>
        </w:numPr>
        <w:jc w:val="both"/>
        <w:rPr>
          <w:b/>
        </w:rPr>
      </w:pPr>
      <w:r w:rsidRPr="00991D46">
        <w:rPr>
          <w:b/>
        </w:rPr>
        <w:t>Durée d’exécution de l’action</w:t>
      </w:r>
    </w:p>
    <w:p w:rsidR="00A520B3" w:rsidRDefault="00693DFD" w:rsidP="008F6B2F">
      <w:pPr>
        <w:ind w:left="360"/>
        <w:jc w:val="both"/>
      </w:pPr>
      <w:r w:rsidRPr="00991D46">
        <w:t xml:space="preserve">L’action démarre au </w:t>
      </w:r>
      <w:r w:rsidR="00035963" w:rsidRPr="00991D46">
        <w:t>second semestre 20</w:t>
      </w:r>
      <w:r w:rsidR="00A520B3">
        <w:t>20</w:t>
      </w:r>
      <w:r w:rsidR="00035963" w:rsidRPr="00991D46">
        <w:t xml:space="preserve"> et s’achèvera au plus tard </w:t>
      </w:r>
      <w:r w:rsidR="00A520B3">
        <w:t>à la fin du 1</w:t>
      </w:r>
      <w:r w:rsidR="00A520B3" w:rsidRPr="00A520B3">
        <w:rPr>
          <w:vertAlign w:val="superscript"/>
        </w:rPr>
        <w:t>er</w:t>
      </w:r>
      <w:r w:rsidR="00A520B3">
        <w:t xml:space="preserve"> semestre</w:t>
      </w:r>
      <w:r w:rsidR="0081377F" w:rsidRPr="00991D46">
        <w:t xml:space="preserve"> </w:t>
      </w:r>
      <w:r w:rsidR="00035963" w:rsidRPr="00991D46">
        <w:t>202</w:t>
      </w:r>
      <w:r w:rsidR="00A520B3">
        <w:t>1</w:t>
      </w:r>
      <w:r w:rsidR="0081377F" w:rsidRPr="00991D46">
        <w:t xml:space="preserve">. </w:t>
      </w:r>
      <w:r w:rsidRPr="00991D46">
        <w:t>E</w:t>
      </w:r>
      <w:r w:rsidR="00A520B3">
        <w:t>lle peut comporter une période de réalisation supérieure à une année dans la limite maximale de 2 années, dans la mesure où :</w:t>
      </w:r>
    </w:p>
    <w:p w:rsidR="001C72CE" w:rsidRDefault="00A520B3" w:rsidP="00A520B3">
      <w:pPr>
        <w:pStyle w:val="Paragraphedeliste"/>
        <w:numPr>
          <w:ilvl w:val="0"/>
          <w:numId w:val="8"/>
        </w:numPr>
        <w:jc w:val="both"/>
      </w:pPr>
      <w:r>
        <w:t>l’objectif recherché justifie par sa nature et sa méthode une durée suffisamment longue</w:t>
      </w:r>
      <w:r w:rsidR="001C72CE">
        <w:t xml:space="preserve">, </w:t>
      </w:r>
    </w:p>
    <w:p w:rsidR="001C72CE" w:rsidRDefault="001C72CE" w:rsidP="00A520B3">
      <w:pPr>
        <w:pStyle w:val="Paragraphedeliste"/>
        <w:numPr>
          <w:ilvl w:val="0"/>
          <w:numId w:val="8"/>
        </w:numPr>
        <w:jc w:val="both"/>
      </w:pPr>
      <w:r>
        <w:t xml:space="preserve">l’organisme souhaite proposer plusieurs sessions de réalisation distinctes sur </w:t>
      </w:r>
      <w:r w:rsidR="00377EE1">
        <w:t>la base d’</w:t>
      </w:r>
      <w:r>
        <w:t xml:space="preserve">un calendrier-cadencement et des modalités de suivi précises. </w:t>
      </w:r>
    </w:p>
    <w:p w:rsidR="00D32036" w:rsidRPr="00991D46" w:rsidRDefault="001C72CE" w:rsidP="00377EE1">
      <w:pPr>
        <w:ind w:left="360"/>
        <w:jc w:val="both"/>
      </w:pPr>
      <w:r>
        <w:t xml:space="preserve">Dans tous les cas, toute </w:t>
      </w:r>
      <w:r w:rsidR="00377EE1">
        <w:t xml:space="preserve">proposition de durée supérieure à 1 année devra être précisément justifiée et organisée pour permettre à la DIRECCTE de se prononcer sur la durée de conventionnement et les conditions de celui-ci (budget par </w:t>
      </w:r>
      <w:r w:rsidR="003565E0">
        <w:t xml:space="preserve">étape ou session, </w:t>
      </w:r>
      <w:r w:rsidR="00377EE1">
        <w:t>modalités d’évaluation intermédiaire</w:t>
      </w:r>
      <w:r w:rsidR="003565E0">
        <w:t>,</w:t>
      </w:r>
      <w:r w:rsidR="00377EE1">
        <w:t xml:space="preserve"> conditionnalité</w:t>
      </w:r>
      <w:r w:rsidR="003565E0">
        <w:t xml:space="preserve"> aux résultats de la phase précédente</w:t>
      </w:r>
      <w:r w:rsidR="004C13BA">
        <w:t>…)</w:t>
      </w:r>
      <w:r w:rsidR="003565E0">
        <w:t>.</w:t>
      </w:r>
      <w:r w:rsidR="00A520B3">
        <w:t xml:space="preserve"> </w:t>
      </w:r>
    </w:p>
    <w:p w:rsidR="00BC1DE0" w:rsidRPr="00991D46" w:rsidRDefault="00BC1DE0" w:rsidP="00C6529E">
      <w:pPr>
        <w:spacing w:after="0"/>
        <w:ind w:left="357"/>
        <w:jc w:val="both"/>
      </w:pPr>
    </w:p>
    <w:p w:rsidR="00C6529E" w:rsidRPr="00991D46" w:rsidRDefault="00C6529E" w:rsidP="00C6529E">
      <w:pPr>
        <w:pStyle w:val="Paragraphedeliste"/>
        <w:numPr>
          <w:ilvl w:val="0"/>
          <w:numId w:val="1"/>
        </w:numPr>
        <w:jc w:val="both"/>
        <w:rPr>
          <w:b/>
        </w:rPr>
      </w:pPr>
      <w:r w:rsidRPr="00991D46">
        <w:rPr>
          <w:b/>
        </w:rPr>
        <w:t>Montant et taux maximum d’intervention de l’Etat au titre du présent appel à propositions</w:t>
      </w:r>
    </w:p>
    <w:p w:rsidR="003565E0" w:rsidRDefault="00C6529E" w:rsidP="00C6529E">
      <w:pPr>
        <w:ind w:left="360"/>
        <w:jc w:val="both"/>
      </w:pPr>
      <w:r w:rsidRPr="00991D46">
        <w:t>Le montant de l’aide de l’Etat au titre du présent appel à propositions ne peut excéder 35 000 € (trente-cinq mille euros) pour une même action</w:t>
      </w:r>
      <w:r w:rsidR="003565E0">
        <w:t xml:space="preserve"> pour une période de réalisation d’un an (ou inférieure) et de 5</w:t>
      </w:r>
      <w:r w:rsidR="004C13BA">
        <w:t>0</w:t>
      </w:r>
      <w:r w:rsidR="003565E0">
        <w:t xml:space="preserve"> 000 euros pour une durée au-delà d’un an. A contrario, le montant minimum d’aide de l’Etat demandé ne peut être inférieur au plancher de 10 000 </w:t>
      </w:r>
      <w:r w:rsidR="003565E0" w:rsidRPr="00991D46">
        <w:t>€</w:t>
      </w:r>
      <w:r w:rsidR="003565E0">
        <w:t>.</w:t>
      </w:r>
    </w:p>
    <w:p w:rsidR="00C6529E" w:rsidRPr="00991D46" w:rsidRDefault="003565E0" w:rsidP="00C6529E">
      <w:pPr>
        <w:ind w:left="360"/>
        <w:jc w:val="both"/>
      </w:pPr>
      <w:r>
        <w:t xml:space="preserve">Le taux d’intervention de l’Etat ne pourra pas excéder </w:t>
      </w:r>
      <w:r w:rsidR="00C6529E" w:rsidRPr="00991D46">
        <w:t xml:space="preserve"> </w:t>
      </w:r>
      <w:r w:rsidR="001F76F0" w:rsidRPr="0048038A">
        <w:rPr>
          <w:b/>
        </w:rPr>
        <w:t>60</w:t>
      </w:r>
      <w:r w:rsidR="00C6529E" w:rsidRPr="0048038A">
        <w:rPr>
          <w:b/>
        </w:rPr>
        <w:t xml:space="preserve"> % </w:t>
      </w:r>
      <w:r w:rsidR="00053B8A" w:rsidRPr="0048038A">
        <w:rPr>
          <w:b/>
        </w:rPr>
        <w:t>maximum</w:t>
      </w:r>
      <w:r w:rsidR="00053B8A" w:rsidRPr="00991D46">
        <w:t xml:space="preserve"> </w:t>
      </w:r>
      <w:r w:rsidR="00C6529E" w:rsidRPr="00991D46">
        <w:t>de la dépen</w:t>
      </w:r>
      <w:r w:rsidR="00E12CA8" w:rsidRPr="00991D46">
        <w:t>se rattachable</w:t>
      </w:r>
      <w:r w:rsidR="00C6529E" w:rsidRPr="00991D46">
        <w:t xml:space="preserve"> à cette action.</w:t>
      </w:r>
      <w:r w:rsidR="00441D5D">
        <w:t xml:space="preserve"> </w:t>
      </w:r>
    </w:p>
    <w:p w:rsidR="00C6529E" w:rsidRPr="00991D46" w:rsidRDefault="00C6529E" w:rsidP="00C6529E">
      <w:pPr>
        <w:ind w:left="360"/>
        <w:jc w:val="both"/>
      </w:pPr>
      <w:r w:rsidRPr="00991D46">
        <w:t>La dépense exclut les éventuelles dépenses d’investissement y affér</w:t>
      </w:r>
      <w:r w:rsidR="00717EA3" w:rsidRPr="00991D46">
        <w:t>en</w:t>
      </w:r>
      <w:r w:rsidRPr="00991D46">
        <w:t>t</w:t>
      </w:r>
      <w:r w:rsidR="00717EA3" w:rsidRPr="00991D46">
        <w:t>es</w:t>
      </w:r>
      <w:r w:rsidR="00035963" w:rsidRPr="00991D46">
        <w:t xml:space="preserve"> (sauf cas et dérogation particulière)</w:t>
      </w:r>
      <w:r w:rsidRPr="00991D46">
        <w:t>.</w:t>
      </w:r>
      <w:r w:rsidR="00E12CA8" w:rsidRPr="00991D46">
        <w:t xml:space="preserve"> Les dépenses indirectes sont admises si elles peuvent être rattachées à l’action au moyen d’une clef physique de répartition juste et objective. La nature de cette clef ainsi que les valeurs associées, la base sur laquelle elle est appliquée ainsi que le montant prévisionnel de </w:t>
      </w:r>
      <w:r w:rsidR="00E12CA8" w:rsidRPr="00991D46">
        <w:lastRenderedPageBreak/>
        <w:t>cette base, sont précisés et explicités dans le dossier de demande de subvention dans le cadre des items correspondants.</w:t>
      </w:r>
    </w:p>
    <w:p w:rsidR="00C6529E" w:rsidRDefault="00C6529E" w:rsidP="00C6529E">
      <w:pPr>
        <w:ind w:left="360"/>
        <w:jc w:val="both"/>
      </w:pPr>
      <w:r w:rsidRPr="00991D46">
        <w:t xml:space="preserve">L’action proposée </w:t>
      </w:r>
      <w:r w:rsidR="00717EA3" w:rsidRPr="00991D46">
        <w:t>inclut</w:t>
      </w:r>
      <w:r w:rsidRPr="00991D46">
        <w:t xml:space="preserve"> d’autres partenaires financiers, et mobilise à ce titre au moins 20 % de ressources financières externes </w:t>
      </w:r>
      <w:r w:rsidR="00586C43" w:rsidRPr="00991D46">
        <w:t xml:space="preserve">à l’organisme candidat </w:t>
      </w:r>
      <w:r w:rsidR="0021618F" w:rsidRPr="00991D46">
        <w:t>(autres fonds d’Etat,</w:t>
      </w:r>
      <w:r w:rsidR="0081377F" w:rsidRPr="00991D46">
        <w:t xml:space="preserve"> </w:t>
      </w:r>
      <w:r w:rsidR="0048038A">
        <w:t xml:space="preserve">ARS, </w:t>
      </w:r>
      <w:r w:rsidR="0081377F" w:rsidRPr="00991D46">
        <w:t>fonds dédiés au secteur du handicap, c</w:t>
      </w:r>
      <w:r w:rsidR="0021618F" w:rsidRPr="00991D46">
        <w:t>ollectivités territoriales</w:t>
      </w:r>
      <w:r w:rsidR="0081377F" w:rsidRPr="00991D46">
        <w:t xml:space="preserve"> dont </w:t>
      </w:r>
      <w:r w:rsidR="00D46C46">
        <w:t>C</w:t>
      </w:r>
      <w:r w:rsidR="0081377F" w:rsidRPr="00991D46">
        <w:t>onseil régional</w:t>
      </w:r>
      <w:r w:rsidR="0021618F" w:rsidRPr="00991D46">
        <w:t>, fondations d’entreprises,</w:t>
      </w:r>
      <w:r w:rsidR="0081377F" w:rsidRPr="00991D46">
        <w:t xml:space="preserve"> branche professionnelle, entreprises….)</w:t>
      </w:r>
      <w:r w:rsidRPr="00991D46">
        <w:t>.</w:t>
      </w:r>
    </w:p>
    <w:p w:rsidR="00532B75" w:rsidRPr="00991D46" w:rsidRDefault="00532B75" w:rsidP="008F6B2F">
      <w:pPr>
        <w:pStyle w:val="Paragraphedeliste"/>
        <w:numPr>
          <w:ilvl w:val="0"/>
          <w:numId w:val="1"/>
        </w:numPr>
        <w:jc w:val="both"/>
        <w:rPr>
          <w:b/>
        </w:rPr>
      </w:pPr>
      <w:r w:rsidRPr="00991D46">
        <w:rPr>
          <w:b/>
        </w:rPr>
        <w:t>Modalités de sélection</w:t>
      </w:r>
      <w:r w:rsidR="00D32036" w:rsidRPr="00991D46">
        <w:rPr>
          <w:b/>
        </w:rPr>
        <w:t xml:space="preserve"> des actions</w:t>
      </w:r>
    </w:p>
    <w:p w:rsidR="004F0E1C" w:rsidRPr="00991D46" w:rsidRDefault="00487657" w:rsidP="00487657">
      <w:pPr>
        <w:ind w:left="360"/>
        <w:jc w:val="both"/>
      </w:pPr>
      <w:r w:rsidRPr="00991D46">
        <w:t xml:space="preserve">Les demandes de </w:t>
      </w:r>
      <w:r w:rsidR="00D32036" w:rsidRPr="00991D46">
        <w:t>subvention sont ex</w:t>
      </w:r>
      <w:r w:rsidR="00C3447D" w:rsidRPr="00991D46">
        <w:t>aminées par l’unité régionale de la</w:t>
      </w:r>
      <w:r w:rsidR="008741B1" w:rsidRPr="00991D46">
        <w:t xml:space="preserve"> DIRECCTE</w:t>
      </w:r>
      <w:r w:rsidRPr="00991D46">
        <w:t xml:space="preserve"> Auver</w:t>
      </w:r>
      <w:r w:rsidR="00D32036" w:rsidRPr="00991D46">
        <w:t>gne-Rhône-Alpes</w:t>
      </w:r>
      <w:r w:rsidRPr="00991D46">
        <w:t xml:space="preserve"> en lien avec les unités départementales concernées</w:t>
      </w:r>
      <w:r w:rsidR="00816707">
        <w:t xml:space="preserve"> </w:t>
      </w:r>
      <w:r w:rsidR="002B25BB">
        <w:t>et mobilisant</w:t>
      </w:r>
      <w:r w:rsidR="009E7917">
        <w:t xml:space="preserve"> le cas échéant des partenaires qualifiés</w:t>
      </w:r>
      <w:r w:rsidRPr="00991D46">
        <w:t xml:space="preserve">. Dans le cadre de cet examen, </w:t>
      </w:r>
      <w:r w:rsidR="004C13BA">
        <w:t>l</w:t>
      </w:r>
      <w:r w:rsidRPr="00991D46">
        <w:t>es compléments d’information ou de pièces peuvent être sollicités</w:t>
      </w:r>
      <w:r w:rsidR="008741B1" w:rsidRPr="00991D46">
        <w:t xml:space="preserve"> par les services de la DIRECCTE</w:t>
      </w:r>
      <w:r w:rsidRPr="00991D46">
        <w:t xml:space="preserve"> </w:t>
      </w:r>
      <w:r w:rsidR="00D32036" w:rsidRPr="00991D46">
        <w:t xml:space="preserve">Auvergne-Rhône-Alpes </w:t>
      </w:r>
      <w:r w:rsidRPr="00991D46">
        <w:t>auprès de l’organisme candidat.</w:t>
      </w:r>
    </w:p>
    <w:p w:rsidR="00487657" w:rsidRPr="00AF3208" w:rsidRDefault="00487657" w:rsidP="00487657">
      <w:pPr>
        <w:ind w:left="360"/>
        <w:jc w:val="both"/>
        <w:rPr>
          <w:b/>
          <w:color w:val="92CDDC" w:themeColor="accent5" w:themeTint="99"/>
        </w:rPr>
      </w:pPr>
      <w:r w:rsidRPr="009E7917">
        <w:t>La décision attributiv</w:t>
      </w:r>
      <w:r w:rsidR="00C3447D" w:rsidRPr="009E7917">
        <w:t>e de la subvention (</w:t>
      </w:r>
      <w:r w:rsidRPr="009E7917">
        <w:t xml:space="preserve">pour un montant inférieur </w:t>
      </w:r>
      <w:r w:rsidR="00717EA3" w:rsidRPr="009E7917">
        <w:t xml:space="preserve">ou égal </w:t>
      </w:r>
      <w:r w:rsidR="00C3447D" w:rsidRPr="009E7917">
        <w:t>à celui sollicité</w:t>
      </w:r>
      <w:r w:rsidR="00502F41" w:rsidRPr="009E7917">
        <w:t xml:space="preserve">, </w:t>
      </w:r>
      <w:r w:rsidR="00C3447D" w:rsidRPr="009E7917">
        <w:t>le cas échéant)</w:t>
      </w:r>
      <w:r w:rsidRPr="009E7917">
        <w:t xml:space="preserve"> est prise par le Directeur régional des entreprises, de la concurrence, de la consommation, du tr</w:t>
      </w:r>
      <w:r w:rsidR="00A54AB1" w:rsidRPr="009E7917">
        <w:t>avail et de l’emploi</w:t>
      </w:r>
      <w:r w:rsidR="009E7917">
        <w:t xml:space="preserve"> par délégation du </w:t>
      </w:r>
      <w:r w:rsidR="009E7917" w:rsidRPr="009E7917">
        <w:t>Préfet de la région Auvergne-Rhône-Alpes</w:t>
      </w:r>
      <w:r w:rsidR="009E7917">
        <w:t>.</w:t>
      </w:r>
    </w:p>
    <w:p w:rsidR="00532B75" w:rsidRPr="00991D46" w:rsidRDefault="004F0E1C" w:rsidP="008F6B2F">
      <w:pPr>
        <w:pStyle w:val="Paragraphedeliste"/>
        <w:numPr>
          <w:ilvl w:val="0"/>
          <w:numId w:val="1"/>
        </w:numPr>
        <w:jc w:val="both"/>
        <w:rPr>
          <w:b/>
        </w:rPr>
      </w:pPr>
      <w:r w:rsidRPr="00991D46">
        <w:rPr>
          <w:b/>
        </w:rPr>
        <w:t>Dépôt et d</w:t>
      </w:r>
      <w:r w:rsidR="00532B75" w:rsidRPr="00991D46">
        <w:rPr>
          <w:b/>
        </w:rPr>
        <w:t>ate l</w:t>
      </w:r>
      <w:r w:rsidR="006237B7" w:rsidRPr="00991D46">
        <w:rPr>
          <w:b/>
        </w:rPr>
        <w:t>imite de dépôt des propositions</w:t>
      </w:r>
    </w:p>
    <w:p w:rsidR="006237B7" w:rsidRPr="00991D46" w:rsidRDefault="009C1AA5" w:rsidP="009C1AA5">
      <w:pPr>
        <w:pStyle w:val="Paragraphedeliste"/>
        <w:jc w:val="both"/>
      </w:pPr>
      <w:r w:rsidRPr="00991D46">
        <w:t xml:space="preserve">Les demandes de subvention sont formalisées à partir du </w:t>
      </w:r>
      <w:proofErr w:type="spellStart"/>
      <w:r w:rsidRPr="00991D46">
        <w:t>Cerfa</w:t>
      </w:r>
      <w:proofErr w:type="spellEnd"/>
      <w:r w:rsidRPr="00991D46">
        <w:t xml:space="preserve"> </w:t>
      </w:r>
      <w:r w:rsidRPr="00991D46">
        <w:rPr>
          <w:shd w:val="clear" w:color="auto" w:fill="F2F2F2"/>
        </w:rPr>
        <w:t>n° 12156*05</w:t>
      </w:r>
      <w:r w:rsidRPr="00991D46">
        <w:rPr>
          <w:b/>
          <w:shd w:val="clear" w:color="auto" w:fill="F2F2F2"/>
        </w:rPr>
        <w:t xml:space="preserve">, </w:t>
      </w:r>
      <w:r w:rsidRPr="00991D46">
        <w:t xml:space="preserve">téléchargeable sur le site : </w:t>
      </w:r>
      <w:hyperlink r:id="rId10" w:history="1">
        <w:r w:rsidRPr="00991D46">
          <w:rPr>
            <w:rStyle w:val="Lienhypertexte"/>
            <w:b/>
            <w:i/>
          </w:rPr>
          <w:t>https://www.service-public.fr/associations</w:t>
        </w:r>
      </w:hyperlink>
      <w:r w:rsidR="006237B7" w:rsidRPr="00991D46">
        <w:t>.</w:t>
      </w:r>
      <w:r w:rsidR="007356FA">
        <w:t xml:space="preserve"> Les organismes sont invités à bien  renseigné le descriptif de l’action dont </w:t>
      </w:r>
      <w:r w:rsidR="00F769C4">
        <w:t xml:space="preserve">notamment </w:t>
      </w:r>
      <w:r w:rsidR="007356FA">
        <w:t>les indicateurs de réalisation quantifiés, les phases/étapes du projet et leur</w:t>
      </w:r>
      <w:r w:rsidR="004C13BA">
        <w:t>s</w:t>
      </w:r>
      <w:r w:rsidR="007356FA">
        <w:t xml:space="preserve"> budget</w:t>
      </w:r>
      <w:r w:rsidR="00F769C4">
        <w:t>s</w:t>
      </w:r>
      <w:r w:rsidR="007356FA">
        <w:t xml:space="preserve"> pour les demandes d’aide supérieures à 1 an, …. </w:t>
      </w:r>
    </w:p>
    <w:p w:rsidR="006237B7" w:rsidRPr="00991D46" w:rsidRDefault="00D8365E" w:rsidP="009C1AA5">
      <w:pPr>
        <w:ind w:left="567"/>
        <w:jc w:val="both"/>
      </w:pPr>
      <w:r w:rsidRPr="00991D46">
        <w:t>Les demandes de subvention sont obligatoirement accompagnées des pièces suivantes :</w:t>
      </w:r>
    </w:p>
    <w:p w:rsidR="00D8365E" w:rsidRPr="00991D46" w:rsidRDefault="00A54AB1" w:rsidP="00D8365E">
      <w:pPr>
        <w:pStyle w:val="Paragraphedeliste"/>
        <w:numPr>
          <w:ilvl w:val="0"/>
          <w:numId w:val="2"/>
        </w:numPr>
        <w:jc w:val="both"/>
      </w:pPr>
      <w:r w:rsidRPr="00991D46">
        <w:t>l</w:t>
      </w:r>
      <w:r w:rsidR="00D8365E" w:rsidRPr="00991D46">
        <w:t xml:space="preserve">es comptes approuvés </w:t>
      </w:r>
      <w:r w:rsidR="000903E2" w:rsidRPr="00991D46">
        <w:t xml:space="preserve">ainsi que le rapport d’activité </w:t>
      </w:r>
      <w:r w:rsidR="00D8365E" w:rsidRPr="00991D46">
        <w:t xml:space="preserve">de l’année </w:t>
      </w:r>
      <w:r w:rsidR="00880D4C" w:rsidRPr="003D4BED">
        <w:t>précédente</w:t>
      </w:r>
      <w:r w:rsidR="00880D4C" w:rsidRPr="00991D46">
        <w:t xml:space="preserve">. </w:t>
      </w:r>
      <w:r w:rsidR="00D8365E" w:rsidRPr="00991D46">
        <w:t>Lorsqu’ils ne sont pas disponibles à la date de dépôt, l’organisme transmet les comptes pr</w:t>
      </w:r>
      <w:r w:rsidR="00D32036" w:rsidRPr="00991D46">
        <w:t>ovisoires</w:t>
      </w:r>
      <w:r w:rsidR="00D8365E" w:rsidRPr="00991D46">
        <w:t>.</w:t>
      </w:r>
    </w:p>
    <w:p w:rsidR="00A7501A" w:rsidRPr="00991D46" w:rsidRDefault="00A54AB1" w:rsidP="008741B1">
      <w:pPr>
        <w:pStyle w:val="Paragraphedeliste"/>
        <w:numPr>
          <w:ilvl w:val="0"/>
          <w:numId w:val="2"/>
        </w:numPr>
        <w:jc w:val="both"/>
      </w:pPr>
      <w:r w:rsidRPr="00991D46">
        <w:t>u</w:t>
      </w:r>
      <w:r w:rsidR="00D8365E" w:rsidRPr="00991D46">
        <w:t>n relevé d’identité bancaire,</w:t>
      </w:r>
    </w:p>
    <w:p w:rsidR="002B7D4D" w:rsidRPr="00991D46" w:rsidRDefault="00F61684" w:rsidP="00A7501A">
      <w:pPr>
        <w:pStyle w:val="Paragraphedeliste"/>
        <w:numPr>
          <w:ilvl w:val="0"/>
          <w:numId w:val="2"/>
        </w:numPr>
        <w:jc w:val="both"/>
      </w:pPr>
      <w:r w:rsidRPr="00991D46">
        <w:t xml:space="preserve">pour les associations, </w:t>
      </w:r>
      <w:r w:rsidR="00A54AB1" w:rsidRPr="00991D46">
        <w:t>l</w:t>
      </w:r>
      <w:r w:rsidR="00D8365E" w:rsidRPr="00991D46">
        <w:t>es statuts, accompagnés du récépissé de déclaration</w:t>
      </w:r>
      <w:r w:rsidR="000903E2" w:rsidRPr="00991D46">
        <w:t xml:space="preserve"> de l’association</w:t>
      </w:r>
      <w:r w:rsidR="00D8365E" w:rsidRPr="00991D46">
        <w:t>,</w:t>
      </w:r>
    </w:p>
    <w:p w:rsidR="00D8365E" w:rsidRPr="00991D46" w:rsidRDefault="00F61684" w:rsidP="00D8365E">
      <w:pPr>
        <w:pStyle w:val="Paragraphedeliste"/>
        <w:numPr>
          <w:ilvl w:val="0"/>
          <w:numId w:val="2"/>
        </w:numPr>
        <w:jc w:val="both"/>
      </w:pPr>
      <w:r w:rsidRPr="00991D46">
        <w:t xml:space="preserve">pour les associations, </w:t>
      </w:r>
      <w:r w:rsidR="00A54AB1" w:rsidRPr="00991D46">
        <w:t>l</w:t>
      </w:r>
      <w:r w:rsidR="00D8365E" w:rsidRPr="00991D46">
        <w:t>a liste des membres du bureau et du conseil d’administration.</w:t>
      </w:r>
    </w:p>
    <w:p w:rsidR="00441D5D" w:rsidRDefault="0097680C" w:rsidP="00441D5D">
      <w:pPr>
        <w:ind w:left="360"/>
        <w:jc w:val="center"/>
        <w:rPr>
          <w:b/>
        </w:rPr>
      </w:pPr>
      <w:r w:rsidRPr="00502F41">
        <w:rPr>
          <w:b/>
        </w:rPr>
        <w:t>Les dossiers de demande de subvention sont déposés, complets,</w:t>
      </w:r>
    </w:p>
    <w:p w:rsidR="00441D5D" w:rsidRDefault="0097680C" w:rsidP="00441D5D">
      <w:pPr>
        <w:ind w:left="360"/>
        <w:jc w:val="center"/>
        <w:rPr>
          <w:b/>
        </w:rPr>
      </w:pPr>
      <w:r w:rsidRPr="00441D5D">
        <w:rPr>
          <w:b/>
          <w:sz w:val="28"/>
          <w:szCs w:val="28"/>
        </w:rPr>
        <w:t>av</w:t>
      </w:r>
      <w:r w:rsidR="008741B1" w:rsidRPr="00441D5D">
        <w:rPr>
          <w:b/>
          <w:sz w:val="28"/>
          <w:szCs w:val="28"/>
        </w:rPr>
        <w:t xml:space="preserve">ant le </w:t>
      </w:r>
      <w:r w:rsidR="00F769C4">
        <w:rPr>
          <w:b/>
          <w:sz w:val="28"/>
          <w:szCs w:val="28"/>
        </w:rPr>
        <w:t>1</w:t>
      </w:r>
      <w:r w:rsidR="002B25BB">
        <w:rPr>
          <w:b/>
          <w:sz w:val="28"/>
          <w:szCs w:val="28"/>
        </w:rPr>
        <w:t>8</w:t>
      </w:r>
      <w:r w:rsidR="00053B8A" w:rsidRPr="00441D5D">
        <w:rPr>
          <w:b/>
          <w:i/>
          <w:sz w:val="28"/>
          <w:szCs w:val="28"/>
        </w:rPr>
        <w:t xml:space="preserve"> </w:t>
      </w:r>
      <w:r w:rsidR="00F769C4">
        <w:rPr>
          <w:b/>
          <w:i/>
          <w:sz w:val="28"/>
          <w:szCs w:val="28"/>
        </w:rPr>
        <w:t xml:space="preserve">septembre </w:t>
      </w:r>
      <w:r w:rsidRPr="00441D5D">
        <w:rPr>
          <w:b/>
          <w:i/>
          <w:sz w:val="28"/>
          <w:szCs w:val="28"/>
        </w:rPr>
        <w:t>20</w:t>
      </w:r>
      <w:r w:rsidR="00F769C4">
        <w:rPr>
          <w:b/>
          <w:i/>
          <w:sz w:val="28"/>
          <w:szCs w:val="28"/>
        </w:rPr>
        <w:t>20</w:t>
      </w:r>
      <w:r w:rsidR="0071164D" w:rsidRPr="00441D5D">
        <w:rPr>
          <w:b/>
          <w:sz w:val="28"/>
          <w:szCs w:val="28"/>
        </w:rPr>
        <w:t xml:space="preserve"> </w:t>
      </w:r>
      <w:r w:rsidRPr="00441D5D">
        <w:rPr>
          <w:b/>
          <w:sz w:val="28"/>
          <w:szCs w:val="28"/>
        </w:rPr>
        <w:t>à minuit au plus tard</w:t>
      </w:r>
      <w:r w:rsidRPr="00502F41">
        <w:rPr>
          <w:b/>
        </w:rPr>
        <w:t>,</w:t>
      </w:r>
    </w:p>
    <w:p w:rsidR="00F769C4" w:rsidRPr="00991D46" w:rsidRDefault="00F769C4" w:rsidP="00F769C4">
      <w:pPr>
        <w:spacing w:before="200"/>
        <w:ind w:left="357"/>
        <w:jc w:val="both"/>
      </w:pPr>
      <w:r>
        <w:rPr>
          <w:b/>
        </w:rPr>
        <w:t>-</w:t>
      </w:r>
      <w:r w:rsidRPr="00502F41">
        <w:rPr>
          <w:b/>
        </w:rPr>
        <w:t xml:space="preserve"> par voie électronique </w:t>
      </w:r>
      <w:r>
        <w:rPr>
          <w:b/>
        </w:rPr>
        <w:t>s</w:t>
      </w:r>
      <w:r w:rsidRPr="00502F41">
        <w:rPr>
          <w:b/>
        </w:rPr>
        <w:t>imultanément aux trois adresses suivantes</w:t>
      </w:r>
      <w:r w:rsidRPr="00991D46">
        <w:t> :</w:t>
      </w:r>
    </w:p>
    <w:p w:rsidR="00F769C4" w:rsidRPr="00991D46" w:rsidRDefault="00F769C4" w:rsidP="00F769C4">
      <w:pPr>
        <w:pStyle w:val="Paragraphedeliste"/>
        <w:numPr>
          <w:ilvl w:val="0"/>
          <w:numId w:val="6"/>
        </w:numPr>
        <w:spacing w:before="200"/>
        <w:jc w:val="both"/>
      </w:pPr>
      <w:r w:rsidRPr="00991D46">
        <w:rPr>
          <w:rFonts w:cs="Times New Roman"/>
        </w:rPr>
        <w:t xml:space="preserve">Unité départementale de la DIRECCTE </w:t>
      </w:r>
      <w:r w:rsidRPr="00991D46">
        <w:rPr>
          <w:rFonts w:cs="Times New Roman"/>
          <w:b/>
          <w:color w:val="7030A0"/>
          <w:u w:val="single"/>
        </w:rPr>
        <w:t>de votre département</w:t>
      </w:r>
      <w:r w:rsidRPr="00991D46">
        <w:rPr>
          <w:rFonts w:cs="Times New Roman"/>
          <w:color w:val="7030A0"/>
        </w:rPr>
        <w:t xml:space="preserve"> </w:t>
      </w:r>
      <w:r>
        <w:rPr>
          <w:rFonts w:cs="Times New Roman"/>
          <w:color w:val="7030A0"/>
        </w:rPr>
        <w:t xml:space="preserve"> </w:t>
      </w:r>
      <w:r w:rsidRPr="00502F41">
        <w:rPr>
          <w:rFonts w:cs="Times New Roman"/>
        </w:rPr>
        <w:t>(par</w:t>
      </w:r>
      <w:r w:rsidRPr="00502F41">
        <w:rPr>
          <w:rFonts w:cs="Times New Roman"/>
          <w:b/>
        </w:rPr>
        <w:t xml:space="preserve"> </w:t>
      </w:r>
      <w:r w:rsidRPr="00502F41">
        <w:rPr>
          <w:rFonts w:cs="Times New Roman"/>
        </w:rPr>
        <w:t>mail</w:t>
      </w:r>
      <w:r>
        <w:rPr>
          <w:rFonts w:cs="Times New Roman"/>
        </w:rPr>
        <w:t xml:space="preserve"> – voir liste jointe des correspondants UD concernés</w:t>
      </w:r>
      <w:r w:rsidRPr="00502F41">
        <w:rPr>
          <w:rFonts w:cs="Times New Roman"/>
        </w:rPr>
        <w:t>)</w:t>
      </w:r>
      <w:r w:rsidRPr="00991D46">
        <w:rPr>
          <w:rFonts w:cs="Times New Roman"/>
          <w:b/>
        </w:rPr>
        <w:t> </w:t>
      </w:r>
      <w:r w:rsidRPr="00991D46">
        <w:rPr>
          <w:rFonts w:cs="Times New Roman"/>
        </w:rPr>
        <w:t>;</w:t>
      </w:r>
    </w:p>
    <w:p w:rsidR="00F769C4" w:rsidRPr="00991D46" w:rsidRDefault="00F769C4" w:rsidP="00F769C4">
      <w:pPr>
        <w:pStyle w:val="Default"/>
        <w:numPr>
          <w:ilvl w:val="0"/>
          <w:numId w:val="6"/>
        </w:numPr>
        <w:spacing w:line="276" w:lineRule="auto"/>
        <w:jc w:val="both"/>
        <w:rPr>
          <w:rFonts w:asciiTheme="minorHAnsi" w:hAnsiTheme="minorHAnsi" w:cs="Times New Roman"/>
          <w:b/>
          <w:color w:val="auto"/>
          <w:sz w:val="22"/>
          <w:szCs w:val="22"/>
        </w:rPr>
      </w:pPr>
      <w:r>
        <w:rPr>
          <w:rFonts w:asciiTheme="minorHAnsi" w:hAnsiTheme="minorHAnsi" w:cs="Times New Roman"/>
          <w:sz w:val="22"/>
          <w:szCs w:val="22"/>
        </w:rPr>
        <w:t>Unité régionale de la DIRECCTE</w:t>
      </w:r>
      <w:r w:rsidRPr="00991D46">
        <w:rPr>
          <w:rFonts w:asciiTheme="minorHAnsi" w:hAnsiTheme="minorHAnsi" w:cs="Times New Roman"/>
          <w:color w:val="auto"/>
          <w:sz w:val="22"/>
          <w:szCs w:val="22"/>
        </w:rPr>
        <w:t xml:space="preserve"> à :</w:t>
      </w:r>
    </w:p>
    <w:p w:rsidR="00F769C4" w:rsidRDefault="001A2077" w:rsidP="00F769C4">
      <w:pPr>
        <w:pStyle w:val="Paragraphedeliste"/>
        <w:numPr>
          <w:ilvl w:val="1"/>
          <w:numId w:val="6"/>
        </w:numPr>
        <w:spacing w:before="200"/>
        <w:jc w:val="both"/>
      </w:pPr>
      <w:hyperlink r:id="rId11" w:history="1">
        <w:r w:rsidR="00F769C4" w:rsidRPr="00E34255">
          <w:rPr>
            <w:rStyle w:val="Lienhypertexte"/>
          </w:rPr>
          <w:t>rosalie.kerdo-belibi@direccte.gouv.fr</w:t>
        </w:r>
      </w:hyperlink>
    </w:p>
    <w:p w:rsidR="00F769C4" w:rsidRPr="00991D46" w:rsidRDefault="001A2077" w:rsidP="00F769C4">
      <w:pPr>
        <w:pStyle w:val="Paragraphedeliste"/>
        <w:numPr>
          <w:ilvl w:val="1"/>
          <w:numId w:val="6"/>
        </w:numPr>
        <w:spacing w:before="200"/>
        <w:jc w:val="both"/>
      </w:pPr>
      <w:hyperlink r:id="rId12" w:history="1">
        <w:r w:rsidR="00F769C4" w:rsidRPr="00E34255">
          <w:rPr>
            <w:rStyle w:val="Lienhypertexte"/>
          </w:rPr>
          <w:t>ara.dpe@direccte.gouv.fr</w:t>
        </w:r>
      </w:hyperlink>
    </w:p>
    <w:p w:rsidR="00BC1DE0" w:rsidRPr="00502F41" w:rsidRDefault="00F769C4" w:rsidP="00F769C4">
      <w:pPr>
        <w:ind w:left="360"/>
        <w:rPr>
          <w:b/>
        </w:rPr>
      </w:pPr>
      <w:r>
        <w:rPr>
          <w:b/>
        </w:rPr>
        <w:lastRenderedPageBreak/>
        <w:t>- par voie postale (</w:t>
      </w:r>
      <w:r w:rsidR="0097680C" w:rsidRPr="00502F41">
        <w:rPr>
          <w:b/>
        </w:rPr>
        <w:t>cachet de la poste faisant foi</w:t>
      </w:r>
      <w:r>
        <w:rPr>
          <w:b/>
        </w:rPr>
        <w:t>)</w:t>
      </w:r>
      <w:r w:rsidR="0097680C" w:rsidRPr="00502F41">
        <w:rPr>
          <w:b/>
        </w:rPr>
        <w:t>,</w:t>
      </w:r>
      <w:r w:rsidR="00BC1DE0" w:rsidRPr="00502F41">
        <w:rPr>
          <w:b/>
        </w:rPr>
        <w:t xml:space="preserve"> à l’adresse suivante :</w:t>
      </w:r>
    </w:p>
    <w:p w:rsidR="00BC1DE0" w:rsidRPr="00991D46" w:rsidRDefault="00BC1DE0" w:rsidP="00BC1DE0">
      <w:pPr>
        <w:spacing w:after="0"/>
        <w:ind w:left="357"/>
        <w:jc w:val="both"/>
      </w:pPr>
      <w:r w:rsidRPr="00991D46">
        <w:t>DIRECCTE Auvergne-Rhône-Alpes</w:t>
      </w:r>
    </w:p>
    <w:p w:rsidR="00BC1DE0" w:rsidRPr="00991D46" w:rsidRDefault="00BC1DE0" w:rsidP="00BC1DE0">
      <w:pPr>
        <w:spacing w:after="0"/>
        <w:ind w:left="357"/>
        <w:jc w:val="both"/>
      </w:pPr>
      <w:r w:rsidRPr="00991D46">
        <w:t xml:space="preserve">Tour </w:t>
      </w:r>
      <w:proofErr w:type="spellStart"/>
      <w:r w:rsidRPr="00991D46">
        <w:t>Swisslife</w:t>
      </w:r>
      <w:proofErr w:type="spellEnd"/>
    </w:p>
    <w:p w:rsidR="00BC1DE0" w:rsidRPr="00991D46" w:rsidRDefault="00BC1DE0" w:rsidP="00BC1DE0">
      <w:pPr>
        <w:spacing w:after="0"/>
        <w:ind w:left="357"/>
        <w:jc w:val="both"/>
      </w:pPr>
      <w:r w:rsidRPr="00991D46">
        <w:t>1, boulevard Vivier Merle</w:t>
      </w:r>
    </w:p>
    <w:p w:rsidR="00BC1DE0" w:rsidRDefault="00BC1DE0" w:rsidP="00BC1DE0">
      <w:pPr>
        <w:spacing w:after="0"/>
        <w:ind w:left="357"/>
        <w:jc w:val="both"/>
      </w:pPr>
      <w:r w:rsidRPr="00991D46">
        <w:t>69443 LYON cedex 03</w:t>
      </w:r>
    </w:p>
    <w:p w:rsidR="009E7917" w:rsidRPr="00991D46" w:rsidRDefault="009E7917" w:rsidP="00BC1DE0">
      <w:pPr>
        <w:spacing w:after="0"/>
        <w:ind w:left="357"/>
        <w:jc w:val="both"/>
      </w:pPr>
    </w:p>
    <w:p w:rsidR="002306C0" w:rsidRPr="00991D46" w:rsidRDefault="002306C0" w:rsidP="00D8365E">
      <w:pPr>
        <w:ind w:left="360"/>
        <w:jc w:val="both"/>
      </w:pPr>
      <w:r w:rsidRPr="00991D46">
        <w:rPr>
          <w:b/>
        </w:rPr>
        <w:t>Toute demande incomplète est déclarée non recevable</w:t>
      </w:r>
      <w:r w:rsidRPr="00991D46">
        <w:t>.</w:t>
      </w:r>
    </w:p>
    <w:p w:rsidR="0097680C" w:rsidRPr="00991D46" w:rsidRDefault="002F7EB0" w:rsidP="002F7EB0">
      <w:pPr>
        <w:pStyle w:val="Paragraphedeliste"/>
        <w:numPr>
          <w:ilvl w:val="0"/>
          <w:numId w:val="1"/>
        </w:numPr>
        <w:jc w:val="both"/>
        <w:rPr>
          <w:b/>
        </w:rPr>
      </w:pPr>
      <w:r w:rsidRPr="00991D46">
        <w:rPr>
          <w:b/>
        </w:rPr>
        <w:t xml:space="preserve">Informations complémentaires </w:t>
      </w:r>
    </w:p>
    <w:p w:rsidR="005A0EA0" w:rsidRDefault="00CA5775" w:rsidP="00B16609">
      <w:pPr>
        <w:ind w:left="360"/>
        <w:jc w:val="both"/>
      </w:pPr>
      <w:r w:rsidRPr="00991D46">
        <w:t xml:space="preserve">La décision d’attribution de la subvention ou de refus </w:t>
      </w:r>
      <w:r w:rsidR="009E7917">
        <w:t>sera</w:t>
      </w:r>
      <w:r w:rsidRPr="00991D46">
        <w:t xml:space="preserve"> signifiée à l’organisme candidat avant </w:t>
      </w:r>
      <w:r w:rsidR="0081377F" w:rsidRPr="00991D46">
        <w:t>fin</w:t>
      </w:r>
      <w:r w:rsidR="00F769C4">
        <w:t xml:space="preserve"> octobre </w:t>
      </w:r>
      <w:r w:rsidR="0081377F" w:rsidRPr="00991D46">
        <w:t>20</w:t>
      </w:r>
      <w:r w:rsidR="00F769C4">
        <w:t>20</w:t>
      </w:r>
      <w:r w:rsidR="0081377F" w:rsidRPr="00991D46">
        <w:t>.</w:t>
      </w:r>
    </w:p>
    <w:p w:rsidR="00B263F9" w:rsidRDefault="00B263F9" w:rsidP="00B16609">
      <w:pPr>
        <w:ind w:left="360"/>
        <w:jc w:val="both"/>
      </w:pPr>
    </w:p>
    <w:sectPr w:rsidR="00B263F9" w:rsidSect="00361745">
      <w:footerReference w:type="default" r:id="rId13"/>
      <w:headerReference w:type="first" r:id="rId14"/>
      <w:pgSz w:w="11906" w:h="16838"/>
      <w:pgMar w:top="1418" w:right="1418" w:bottom="1531" w:left="1418" w:header="45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077" w:rsidRDefault="001A2077" w:rsidP="005A0EA0">
      <w:pPr>
        <w:spacing w:after="0" w:line="240" w:lineRule="auto"/>
      </w:pPr>
      <w:r>
        <w:separator/>
      </w:r>
    </w:p>
  </w:endnote>
  <w:endnote w:type="continuationSeparator" w:id="0">
    <w:p w:rsidR="001A2077" w:rsidRDefault="001A2077" w:rsidP="005A0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5272606"/>
      <w:docPartObj>
        <w:docPartGallery w:val="Page Numbers (Bottom of Page)"/>
        <w:docPartUnique/>
      </w:docPartObj>
    </w:sdtPr>
    <w:sdtEndPr/>
    <w:sdtContent>
      <w:p w:rsidR="003A3003" w:rsidRDefault="003A3003">
        <w:pPr>
          <w:pStyle w:val="Pieddepage"/>
          <w:jc w:val="center"/>
        </w:pPr>
        <w:r>
          <w:fldChar w:fldCharType="begin"/>
        </w:r>
        <w:r>
          <w:instrText>PAGE   \* MERGEFORMAT</w:instrText>
        </w:r>
        <w:r>
          <w:fldChar w:fldCharType="separate"/>
        </w:r>
        <w:r w:rsidR="00214E47">
          <w:rPr>
            <w:noProof/>
          </w:rPr>
          <w:t>2</w:t>
        </w:r>
        <w:r>
          <w:fldChar w:fldCharType="end"/>
        </w:r>
      </w:p>
    </w:sdtContent>
  </w:sdt>
  <w:p w:rsidR="00D84544" w:rsidRDefault="00D8454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077" w:rsidRDefault="001A2077" w:rsidP="005A0EA0">
      <w:pPr>
        <w:spacing w:after="0" w:line="240" w:lineRule="auto"/>
      </w:pPr>
      <w:r>
        <w:separator/>
      </w:r>
    </w:p>
  </w:footnote>
  <w:footnote w:type="continuationSeparator" w:id="0">
    <w:p w:rsidR="001A2077" w:rsidRDefault="001A2077" w:rsidP="005A0E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994" w:rsidRPr="00C777AB" w:rsidRDefault="00667994" w:rsidP="00667994">
    <w:pPr>
      <w:spacing w:after="0"/>
      <w:rPr>
        <w:sz w:val="20"/>
        <w:szCs w:val="20"/>
      </w:rPr>
    </w:pPr>
    <w:r w:rsidRPr="00C777AB">
      <w:rPr>
        <w:sz w:val="20"/>
        <w:szCs w:val="20"/>
      </w:rPr>
      <w:t>Direction régionale des entreprises,</w:t>
    </w:r>
  </w:p>
  <w:p w:rsidR="00667994" w:rsidRPr="00C777AB" w:rsidRDefault="00667994" w:rsidP="00667994">
    <w:pPr>
      <w:spacing w:after="0"/>
      <w:rPr>
        <w:sz w:val="20"/>
        <w:szCs w:val="20"/>
      </w:rPr>
    </w:pPr>
    <w:proofErr w:type="gramStart"/>
    <w:r w:rsidRPr="00C777AB">
      <w:rPr>
        <w:sz w:val="20"/>
        <w:szCs w:val="20"/>
      </w:rPr>
      <w:t>de</w:t>
    </w:r>
    <w:proofErr w:type="gramEnd"/>
    <w:r w:rsidRPr="00C777AB">
      <w:rPr>
        <w:sz w:val="20"/>
        <w:szCs w:val="20"/>
      </w:rPr>
      <w:t xml:space="preserve"> la concurrence, de la consommation,</w:t>
    </w:r>
  </w:p>
  <w:p w:rsidR="00667994" w:rsidRPr="00C777AB" w:rsidRDefault="00667994" w:rsidP="00667994">
    <w:pPr>
      <w:pStyle w:val="En-tte"/>
      <w:rPr>
        <w:sz w:val="20"/>
        <w:szCs w:val="20"/>
      </w:rPr>
    </w:pPr>
    <w:proofErr w:type="gramStart"/>
    <w:r w:rsidRPr="00C777AB">
      <w:rPr>
        <w:sz w:val="20"/>
        <w:szCs w:val="20"/>
      </w:rPr>
      <w:t>du</w:t>
    </w:r>
    <w:proofErr w:type="gramEnd"/>
    <w:r w:rsidRPr="00C777AB">
      <w:rPr>
        <w:sz w:val="20"/>
        <w:szCs w:val="20"/>
      </w:rPr>
      <w:t xml:space="preserve"> travail et de l’emploi d’Auvergne-Rhône-Alpes</w:t>
    </w:r>
  </w:p>
  <w:p w:rsidR="00667994" w:rsidRDefault="0066799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B3342"/>
    <w:multiLevelType w:val="hybridMultilevel"/>
    <w:tmpl w:val="9FA2A37E"/>
    <w:lvl w:ilvl="0" w:tplc="79EA8818">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5213EDC"/>
    <w:multiLevelType w:val="hybridMultilevel"/>
    <w:tmpl w:val="5B4CD2A6"/>
    <w:lvl w:ilvl="0" w:tplc="040C0001">
      <w:start w:val="1"/>
      <w:numFmt w:val="bullet"/>
      <w:lvlText w:val=""/>
      <w:lvlJc w:val="left"/>
      <w:pPr>
        <w:ind w:left="1125" w:hanging="360"/>
      </w:pPr>
      <w:rPr>
        <w:rFonts w:ascii="Symbol" w:hAnsi="Symbol" w:hint="default"/>
      </w:rPr>
    </w:lvl>
    <w:lvl w:ilvl="1" w:tplc="040C0003">
      <w:start w:val="1"/>
      <w:numFmt w:val="bullet"/>
      <w:lvlText w:val="o"/>
      <w:lvlJc w:val="left"/>
      <w:pPr>
        <w:ind w:left="1845" w:hanging="360"/>
      </w:pPr>
      <w:rPr>
        <w:rFonts w:ascii="Courier New" w:hAnsi="Courier New" w:cs="Courier New" w:hint="default"/>
      </w:rPr>
    </w:lvl>
    <w:lvl w:ilvl="2" w:tplc="040C0005" w:tentative="1">
      <w:start w:val="1"/>
      <w:numFmt w:val="bullet"/>
      <w:lvlText w:val=""/>
      <w:lvlJc w:val="left"/>
      <w:pPr>
        <w:ind w:left="2565" w:hanging="360"/>
      </w:pPr>
      <w:rPr>
        <w:rFonts w:ascii="Wingdings" w:hAnsi="Wingdings" w:hint="default"/>
      </w:rPr>
    </w:lvl>
    <w:lvl w:ilvl="3" w:tplc="040C0001" w:tentative="1">
      <w:start w:val="1"/>
      <w:numFmt w:val="bullet"/>
      <w:lvlText w:val=""/>
      <w:lvlJc w:val="left"/>
      <w:pPr>
        <w:ind w:left="3285" w:hanging="360"/>
      </w:pPr>
      <w:rPr>
        <w:rFonts w:ascii="Symbol" w:hAnsi="Symbol" w:hint="default"/>
      </w:rPr>
    </w:lvl>
    <w:lvl w:ilvl="4" w:tplc="040C0003" w:tentative="1">
      <w:start w:val="1"/>
      <w:numFmt w:val="bullet"/>
      <w:lvlText w:val="o"/>
      <w:lvlJc w:val="left"/>
      <w:pPr>
        <w:ind w:left="4005" w:hanging="360"/>
      </w:pPr>
      <w:rPr>
        <w:rFonts w:ascii="Courier New" w:hAnsi="Courier New" w:cs="Courier New" w:hint="default"/>
      </w:rPr>
    </w:lvl>
    <w:lvl w:ilvl="5" w:tplc="040C0005" w:tentative="1">
      <w:start w:val="1"/>
      <w:numFmt w:val="bullet"/>
      <w:lvlText w:val=""/>
      <w:lvlJc w:val="left"/>
      <w:pPr>
        <w:ind w:left="4725" w:hanging="360"/>
      </w:pPr>
      <w:rPr>
        <w:rFonts w:ascii="Wingdings" w:hAnsi="Wingdings" w:hint="default"/>
      </w:rPr>
    </w:lvl>
    <w:lvl w:ilvl="6" w:tplc="040C0001" w:tentative="1">
      <w:start w:val="1"/>
      <w:numFmt w:val="bullet"/>
      <w:lvlText w:val=""/>
      <w:lvlJc w:val="left"/>
      <w:pPr>
        <w:ind w:left="5445" w:hanging="360"/>
      </w:pPr>
      <w:rPr>
        <w:rFonts w:ascii="Symbol" w:hAnsi="Symbol" w:hint="default"/>
      </w:rPr>
    </w:lvl>
    <w:lvl w:ilvl="7" w:tplc="040C0003" w:tentative="1">
      <w:start w:val="1"/>
      <w:numFmt w:val="bullet"/>
      <w:lvlText w:val="o"/>
      <w:lvlJc w:val="left"/>
      <w:pPr>
        <w:ind w:left="6165" w:hanging="360"/>
      </w:pPr>
      <w:rPr>
        <w:rFonts w:ascii="Courier New" w:hAnsi="Courier New" w:cs="Courier New" w:hint="default"/>
      </w:rPr>
    </w:lvl>
    <w:lvl w:ilvl="8" w:tplc="040C0005" w:tentative="1">
      <w:start w:val="1"/>
      <w:numFmt w:val="bullet"/>
      <w:lvlText w:val=""/>
      <w:lvlJc w:val="left"/>
      <w:pPr>
        <w:ind w:left="6885" w:hanging="360"/>
      </w:pPr>
      <w:rPr>
        <w:rFonts w:ascii="Wingdings" w:hAnsi="Wingdings" w:hint="default"/>
      </w:rPr>
    </w:lvl>
  </w:abstractNum>
  <w:abstractNum w:abstractNumId="2">
    <w:nsid w:val="1F497803"/>
    <w:multiLevelType w:val="hybridMultilevel"/>
    <w:tmpl w:val="D8C212A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F9F2628"/>
    <w:multiLevelType w:val="hybridMultilevel"/>
    <w:tmpl w:val="FF700108"/>
    <w:lvl w:ilvl="0" w:tplc="040C0001">
      <w:start w:val="1"/>
      <w:numFmt w:val="bullet"/>
      <w:lvlText w:val=""/>
      <w:lvlJc w:val="left"/>
      <w:pPr>
        <w:ind w:left="1125" w:hanging="360"/>
      </w:pPr>
      <w:rPr>
        <w:rFonts w:ascii="Symbol" w:hAnsi="Symbol" w:hint="default"/>
      </w:rPr>
    </w:lvl>
    <w:lvl w:ilvl="1" w:tplc="040C0003" w:tentative="1">
      <w:start w:val="1"/>
      <w:numFmt w:val="bullet"/>
      <w:lvlText w:val="o"/>
      <w:lvlJc w:val="left"/>
      <w:pPr>
        <w:ind w:left="1845" w:hanging="360"/>
      </w:pPr>
      <w:rPr>
        <w:rFonts w:ascii="Courier New" w:hAnsi="Courier New" w:cs="Courier New" w:hint="default"/>
      </w:rPr>
    </w:lvl>
    <w:lvl w:ilvl="2" w:tplc="040C0005" w:tentative="1">
      <w:start w:val="1"/>
      <w:numFmt w:val="bullet"/>
      <w:lvlText w:val=""/>
      <w:lvlJc w:val="left"/>
      <w:pPr>
        <w:ind w:left="2565" w:hanging="360"/>
      </w:pPr>
      <w:rPr>
        <w:rFonts w:ascii="Wingdings" w:hAnsi="Wingdings" w:hint="default"/>
      </w:rPr>
    </w:lvl>
    <w:lvl w:ilvl="3" w:tplc="040C0001" w:tentative="1">
      <w:start w:val="1"/>
      <w:numFmt w:val="bullet"/>
      <w:lvlText w:val=""/>
      <w:lvlJc w:val="left"/>
      <w:pPr>
        <w:ind w:left="3285" w:hanging="360"/>
      </w:pPr>
      <w:rPr>
        <w:rFonts w:ascii="Symbol" w:hAnsi="Symbol" w:hint="default"/>
      </w:rPr>
    </w:lvl>
    <w:lvl w:ilvl="4" w:tplc="040C0003" w:tentative="1">
      <w:start w:val="1"/>
      <w:numFmt w:val="bullet"/>
      <w:lvlText w:val="o"/>
      <w:lvlJc w:val="left"/>
      <w:pPr>
        <w:ind w:left="4005" w:hanging="360"/>
      </w:pPr>
      <w:rPr>
        <w:rFonts w:ascii="Courier New" w:hAnsi="Courier New" w:cs="Courier New" w:hint="default"/>
      </w:rPr>
    </w:lvl>
    <w:lvl w:ilvl="5" w:tplc="040C0005" w:tentative="1">
      <w:start w:val="1"/>
      <w:numFmt w:val="bullet"/>
      <w:lvlText w:val=""/>
      <w:lvlJc w:val="left"/>
      <w:pPr>
        <w:ind w:left="4725" w:hanging="360"/>
      </w:pPr>
      <w:rPr>
        <w:rFonts w:ascii="Wingdings" w:hAnsi="Wingdings" w:hint="default"/>
      </w:rPr>
    </w:lvl>
    <w:lvl w:ilvl="6" w:tplc="040C0001" w:tentative="1">
      <w:start w:val="1"/>
      <w:numFmt w:val="bullet"/>
      <w:lvlText w:val=""/>
      <w:lvlJc w:val="left"/>
      <w:pPr>
        <w:ind w:left="5445" w:hanging="360"/>
      </w:pPr>
      <w:rPr>
        <w:rFonts w:ascii="Symbol" w:hAnsi="Symbol" w:hint="default"/>
      </w:rPr>
    </w:lvl>
    <w:lvl w:ilvl="7" w:tplc="040C0003" w:tentative="1">
      <w:start w:val="1"/>
      <w:numFmt w:val="bullet"/>
      <w:lvlText w:val="o"/>
      <w:lvlJc w:val="left"/>
      <w:pPr>
        <w:ind w:left="6165" w:hanging="360"/>
      </w:pPr>
      <w:rPr>
        <w:rFonts w:ascii="Courier New" w:hAnsi="Courier New" w:cs="Courier New" w:hint="default"/>
      </w:rPr>
    </w:lvl>
    <w:lvl w:ilvl="8" w:tplc="040C0005" w:tentative="1">
      <w:start w:val="1"/>
      <w:numFmt w:val="bullet"/>
      <w:lvlText w:val=""/>
      <w:lvlJc w:val="left"/>
      <w:pPr>
        <w:ind w:left="6885" w:hanging="360"/>
      </w:pPr>
      <w:rPr>
        <w:rFonts w:ascii="Wingdings" w:hAnsi="Wingdings" w:hint="default"/>
      </w:rPr>
    </w:lvl>
  </w:abstractNum>
  <w:abstractNum w:abstractNumId="4">
    <w:nsid w:val="2FF056E0"/>
    <w:multiLevelType w:val="hybridMultilevel"/>
    <w:tmpl w:val="39EEA8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9096FD6"/>
    <w:multiLevelType w:val="hybridMultilevel"/>
    <w:tmpl w:val="9D184800"/>
    <w:lvl w:ilvl="0" w:tplc="040C000D">
      <w:start w:val="1"/>
      <w:numFmt w:val="bullet"/>
      <w:lvlText w:val=""/>
      <w:lvlJc w:val="left"/>
      <w:pPr>
        <w:ind w:left="1077" w:hanging="360"/>
      </w:pPr>
      <w:rPr>
        <w:rFonts w:ascii="Wingdings" w:hAnsi="Wingdings" w:hint="default"/>
      </w:rPr>
    </w:lvl>
    <w:lvl w:ilvl="1" w:tplc="040C0003">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6">
    <w:nsid w:val="798F2C44"/>
    <w:multiLevelType w:val="hybridMultilevel"/>
    <w:tmpl w:val="7262B88C"/>
    <w:lvl w:ilvl="0" w:tplc="4F6E981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F716701"/>
    <w:multiLevelType w:val="hybridMultilevel"/>
    <w:tmpl w:val="0D0AB704"/>
    <w:lvl w:ilvl="0" w:tplc="1C6220B4">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4"/>
  </w:num>
  <w:num w:numId="5">
    <w:abstractNumId w:val="1"/>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EA0"/>
    <w:rsid w:val="000033D3"/>
    <w:rsid w:val="00023FB1"/>
    <w:rsid w:val="00035963"/>
    <w:rsid w:val="00053B8A"/>
    <w:rsid w:val="000541EF"/>
    <w:rsid w:val="0006552D"/>
    <w:rsid w:val="000903E2"/>
    <w:rsid w:val="000A5723"/>
    <w:rsid w:val="000D25C7"/>
    <w:rsid w:val="000D3691"/>
    <w:rsid w:val="000D43DA"/>
    <w:rsid w:val="000D761C"/>
    <w:rsid w:val="00100C42"/>
    <w:rsid w:val="001018C6"/>
    <w:rsid w:val="00123BB9"/>
    <w:rsid w:val="00124E26"/>
    <w:rsid w:val="00133FA2"/>
    <w:rsid w:val="00147184"/>
    <w:rsid w:val="0015272A"/>
    <w:rsid w:val="00166D25"/>
    <w:rsid w:val="001975FC"/>
    <w:rsid w:val="001A2077"/>
    <w:rsid w:val="001A5681"/>
    <w:rsid w:val="001A6B92"/>
    <w:rsid w:val="001B2698"/>
    <w:rsid w:val="001C72CE"/>
    <w:rsid w:val="001E27BD"/>
    <w:rsid w:val="001F76F0"/>
    <w:rsid w:val="00207A89"/>
    <w:rsid w:val="00214E47"/>
    <w:rsid w:val="0021618F"/>
    <w:rsid w:val="002231CE"/>
    <w:rsid w:val="002306C0"/>
    <w:rsid w:val="00232543"/>
    <w:rsid w:val="00234A33"/>
    <w:rsid w:val="00240A1B"/>
    <w:rsid w:val="00241A80"/>
    <w:rsid w:val="0025412F"/>
    <w:rsid w:val="00271CF5"/>
    <w:rsid w:val="002831E1"/>
    <w:rsid w:val="00291792"/>
    <w:rsid w:val="00291A44"/>
    <w:rsid w:val="002A755A"/>
    <w:rsid w:val="002B25BB"/>
    <w:rsid w:val="002B5CE6"/>
    <w:rsid w:val="002B7D4D"/>
    <w:rsid w:val="002C1FB3"/>
    <w:rsid w:val="002C704D"/>
    <w:rsid w:val="002D2DBA"/>
    <w:rsid w:val="002D41D2"/>
    <w:rsid w:val="002D4602"/>
    <w:rsid w:val="002D757A"/>
    <w:rsid w:val="002E034F"/>
    <w:rsid w:val="002E2EA3"/>
    <w:rsid w:val="002E5E5C"/>
    <w:rsid w:val="002F7EB0"/>
    <w:rsid w:val="00320FD4"/>
    <w:rsid w:val="003565E0"/>
    <w:rsid w:val="00360778"/>
    <w:rsid w:val="00361745"/>
    <w:rsid w:val="00364EDA"/>
    <w:rsid w:val="00367AF5"/>
    <w:rsid w:val="00372453"/>
    <w:rsid w:val="00372F94"/>
    <w:rsid w:val="0037791A"/>
    <w:rsid w:val="00377EE1"/>
    <w:rsid w:val="003910A2"/>
    <w:rsid w:val="003929C7"/>
    <w:rsid w:val="003A3003"/>
    <w:rsid w:val="003B483F"/>
    <w:rsid w:val="003C030A"/>
    <w:rsid w:val="003D47EF"/>
    <w:rsid w:val="003D4BED"/>
    <w:rsid w:val="003E4505"/>
    <w:rsid w:val="003E7205"/>
    <w:rsid w:val="003F4AAD"/>
    <w:rsid w:val="003F50A2"/>
    <w:rsid w:val="00402D82"/>
    <w:rsid w:val="00403434"/>
    <w:rsid w:val="0042306B"/>
    <w:rsid w:val="00441D5D"/>
    <w:rsid w:val="004729D6"/>
    <w:rsid w:val="0048038A"/>
    <w:rsid w:val="00483B16"/>
    <w:rsid w:val="00487657"/>
    <w:rsid w:val="004A432A"/>
    <w:rsid w:val="004C13BA"/>
    <w:rsid w:val="004C2B1D"/>
    <w:rsid w:val="004D3710"/>
    <w:rsid w:val="004D3C4A"/>
    <w:rsid w:val="004D40CC"/>
    <w:rsid w:val="004E0FD1"/>
    <w:rsid w:val="004F0E1C"/>
    <w:rsid w:val="0050219E"/>
    <w:rsid w:val="00502F41"/>
    <w:rsid w:val="005031CE"/>
    <w:rsid w:val="005210A4"/>
    <w:rsid w:val="00532B75"/>
    <w:rsid w:val="00550A34"/>
    <w:rsid w:val="00554147"/>
    <w:rsid w:val="0055572C"/>
    <w:rsid w:val="0058559A"/>
    <w:rsid w:val="00586C43"/>
    <w:rsid w:val="005918D5"/>
    <w:rsid w:val="005A01C1"/>
    <w:rsid w:val="005A0EA0"/>
    <w:rsid w:val="005A4B58"/>
    <w:rsid w:val="005A53B1"/>
    <w:rsid w:val="005A5C1A"/>
    <w:rsid w:val="005C0F6C"/>
    <w:rsid w:val="005F2420"/>
    <w:rsid w:val="0060373B"/>
    <w:rsid w:val="00605642"/>
    <w:rsid w:val="00621308"/>
    <w:rsid w:val="006237B7"/>
    <w:rsid w:val="00626B98"/>
    <w:rsid w:val="00630CD3"/>
    <w:rsid w:val="00633FA4"/>
    <w:rsid w:val="00641499"/>
    <w:rsid w:val="00667994"/>
    <w:rsid w:val="00684659"/>
    <w:rsid w:val="00685416"/>
    <w:rsid w:val="00685449"/>
    <w:rsid w:val="00686B2E"/>
    <w:rsid w:val="00693DFD"/>
    <w:rsid w:val="006B217C"/>
    <w:rsid w:val="006D42C8"/>
    <w:rsid w:val="006E58D9"/>
    <w:rsid w:val="006F1886"/>
    <w:rsid w:val="007002C1"/>
    <w:rsid w:val="00705899"/>
    <w:rsid w:val="007067B8"/>
    <w:rsid w:val="0071164D"/>
    <w:rsid w:val="00717EA3"/>
    <w:rsid w:val="007212A2"/>
    <w:rsid w:val="007356FA"/>
    <w:rsid w:val="0076522A"/>
    <w:rsid w:val="00776D17"/>
    <w:rsid w:val="00780EC4"/>
    <w:rsid w:val="0078132D"/>
    <w:rsid w:val="007D0056"/>
    <w:rsid w:val="007E0C7D"/>
    <w:rsid w:val="007E7B54"/>
    <w:rsid w:val="007F195B"/>
    <w:rsid w:val="007F3106"/>
    <w:rsid w:val="008034CF"/>
    <w:rsid w:val="008066E0"/>
    <w:rsid w:val="0081377F"/>
    <w:rsid w:val="00816707"/>
    <w:rsid w:val="00855257"/>
    <w:rsid w:val="00863705"/>
    <w:rsid w:val="00867F5E"/>
    <w:rsid w:val="008741B1"/>
    <w:rsid w:val="00880D4C"/>
    <w:rsid w:val="00886DCB"/>
    <w:rsid w:val="008D6EB6"/>
    <w:rsid w:val="008E4DC5"/>
    <w:rsid w:val="008E6BCB"/>
    <w:rsid w:val="008F6B2F"/>
    <w:rsid w:val="00906990"/>
    <w:rsid w:val="00924A6D"/>
    <w:rsid w:val="0092663A"/>
    <w:rsid w:val="0094234E"/>
    <w:rsid w:val="0095233E"/>
    <w:rsid w:val="0096138A"/>
    <w:rsid w:val="00962928"/>
    <w:rsid w:val="00971342"/>
    <w:rsid w:val="0097680C"/>
    <w:rsid w:val="00980C41"/>
    <w:rsid w:val="009839FD"/>
    <w:rsid w:val="00991D46"/>
    <w:rsid w:val="00992A85"/>
    <w:rsid w:val="00992D5A"/>
    <w:rsid w:val="009A5F83"/>
    <w:rsid w:val="009B06AD"/>
    <w:rsid w:val="009C1AA5"/>
    <w:rsid w:val="009C2668"/>
    <w:rsid w:val="009C2B30"/>
    <w:rsid w:val="009E3BAE"/>
    <w:rsid w:val="009E5F2A"/>
    <w:rsid w:val="009E7917"/>
    <w:rsid w:val="009F2127"/>
    <w:rsid w:val="00A0211B"/>
    <w:rsid w:val="00A05628"/>
    <w:rsid w:val="00A20633"/>
    <w:rsid w:val="00A21859"/>
    <w:rsid w:val="00A40760"/>
    <w:rsid w:val="00A42DF8"/>
    <w:rsid w:val="00A51FCF"/>
    <w:rsid w:val="00A520B3"/>
    <w:rsid w:val="00A54AB1"/>
    <w:rsid w:val="00A6124B"/>
    <w:rsid w:val="00A73C32"/>
    <w:rsid w:val="00A7501A"/>
    <w:rsid w:val="00AC5576"/>
    <w:rsid w:val="00AC5E22"/>
    <w:rsid w:val="00AD7069"/>
    <w:rsid w:val="00AF07FE"/>
    <w:rsid w:val="00AF3208"/>
    <w:rsid w:val="00B02A78"/>
    <w:rsid w:val="00B0649A"/>
    <w:rsid w:val="00B14BEB"/>
    <w:rsid w:val="00B16609"/>
    <w:rsid w:val="00B260A6"/>
    <w:rsid w:val="00B263F9"/>
    <w:rsid w:val="00B26968"/>
    <w:rsid w:val="00B27301"/>
    <w:rsid w:val="00B37785"/>
    <w:rsid w:val="00B52572"/>
    <w:rsid w:val="00B5412C"/>
    <w:rsid w:val="00B56D46"/>
    <w:rsid w:val="00B626DE"/>
    <w:rsid w:val="00B75169"/>
    <w:rsid w:val="00B906DE"/>
    <w:rsid w:val="00B966CB"/>
    <w:rsid w:val="00BA50F2"/>
    <w:rsid w:val="00BC1BA1"/>
    <w:rsid w:val="00BC1DE0"/>
    <w:rsid w:val="00BD6118"/>
    <w:rsid w:val="00BD6455"/>
    <w:rsid w:val="00BE4F08"/>
    <w:rsid w:val="00BE76C9"/>
    <w:rsid w:val="00C01313"/>
    <w:rsid w:val="00C17E28"/>
    <w:rsid w:val="00C2161D"/>
    <w:rsid w:val="00C248AE"/>
    <w:rsid w:val="00C3447D"/>
    <w:rsid w:val="00C37C8F"/>
    <w:rsid w:val="00C43E5B"/>
    <w:rsid w:val="00C518F7"/>
    <w:rsid w:val="00C521D3"/>
    <w:rsid w:val="00C54DE9"/>
    <w:rsid w:val="00C6529E"/>
    <w:rsid w:val="00C70247"/>
    <w:rsid w:val="00C777AB"/>
    <w:rsid w:val="00CA5775"/>
    <w:rsid w:val="00CC4320"/>
    <w:rsid w:val="00CD0977"/>
    <w:rsid w:val="00CD4BA8"/>
    <w:rsid w:val="00CD5FD7"/>
    <w:rsid w:val="00CD664D"/>
    <w:rsid w:val="00CD673A"/>
    <w:rsid w:val="00CD6B63"/>
    <w:rsid w:val="00CE5707"/>
    <w:rsid w:val="00CF4DB7"/>
    <w:rsid w:val="00CF5284"/>
    <w:rsid w:val="00D10C68"/>
    <w:rsid w:val="00D20061"/>
    <w:rsid w:val="00D32036"/>
    <w:rsid w:val="00D46C46"/>
    <w:rsid w:val="00D52DBE"/>
    <w:rsid w:val="00D62C44"/>
    <w:rsid w:val="00D64ED7"/>
    <w:rsid w:val="00D64F19"/>
    <w:rsid w:val="00D81F2B"/>
    <w:rsid w:val="00D8365E"/>
    <w:rsid w:val="00D84544"/>
    <w:rsid w:val="00D90E85"/>
    <w:rsid w:val="00DB20D3"/>
    <w:rsid w:val="00DD23F9"/>
    <w:rsid w:val="00DD67CC"/>
    <w:rsid w:val="00DD6FE1"/>
    <w:rsid w:val="00DE2170"/>
    <w:rsid w:val="00E07B90"/>
    <w:rsid w:val="00E07F45"/>
    <w:rsid w:val="00E12CA8"/>
    <w:rsid w:val="00E137C6"/>
    <w:rsid w:val="00E16604"/>
    <w:rsid w:val="00E239BD"/>
    <w:rsid w:val="00E4365F"/>
    <w:rsid w:val="00E46DA7"/>
    <w:rsid w:val="00E4799C"/>
    <w:rsid w:val="00E51D4B"/>
    <w:rsid w:val="00E5751B"/>
    <w:rsid w:val="00E64268"/>
    <w:rsid w:val="00E735CD"/>
    <w:rsid w:val="00E73AC8"/>
    <w:rsid w:val="00E804D8"/>
    <w:rsid w:val="00EB3019"/>
    <w:rsid w:val="00EB3E20"/>
    <w:rsid w:val="00EC5CED"/>
    <w:rsid w:val="00ED573C"/>
    <w:rsid w:val="00ED6E44"/>
    <w:rsid w:val="00EE0ED5"/>
    <w:rsid w:val="00EE172F"/>
    <w:rsid w:val="00EE53AD"/>
    <w:rsid w:val="00EF124D"/>
    <w:rsid w:val="00F077AC"/>
    <w:rsid w:val="00F26683"/>
    <w:rsid w:val="00F266D0"/>
    <w:rsid w:val="00F456D3"/>
    <w:rsid w:val="00F5357C"/>
    <w:rsid w:val="00F61684"/>
    <w:rsid w:val="00F713D6"/>
    <w:rsid w:val="00F72EC3"/>
    <w:rsid w:val="00F75C5F"/>
    <w:rsid w:val="00F769C4"/>
    <w:rsid w:val="00F93441"/>
    <w:rsid w:val="00FA6CE3"/>
    <w:rsid w:val="00FB53E4"/>
    <w:rsid w:val="00FC444B"/>
    <w:rsid w:val="00FE02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A0EA0"/>
    <w:pPr>
      <w:tabs>
        <w:tab w:val="center" w:pos="4536"/>
        <w:tab w:val="right" w:pos="9072"/>
      </w:tabs>
      <w:spacing w:after="0" w:line="240" w:lineRule="auto"/>
    </w:pPr>
  </w:style>
  <w:style w:type="character" w:customStyle="1" w:styleId="En-tteCar">
    <w:name w:val="En-tête Car"/>
    <w:basedOn w:val="Policepardfaut"/>
    <w:link w:val="En-tte"/>
    <w:uiPriority w:val="99"/>
    <w:rsid w:val="005A0EA0"/>
  </w:style>
  <w:style w:type="paragraph" w:styleId="Pieddepage">
    <w:name w:val="footer"/>
    <w:basedOn w:val="Normal"/>
    <w:link w:val="PieddepageCar"/>
    <w:uiPriority w:val="99"/>
    <w:unhideWhenUsed/>
    <w:rsid w:val="005A0EA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A0EA0"/>
  </w:style>
  <w:style w:type="paragraph" w:styleId="Textedebulles">
    <w:name w:val="Balloon Text"/>
    <w:basedOn w:val="Normal"/>
    <w:link w:val="TextedebullesCar"/>
    <w:uiPriority w:val="99"/>
    <w:semiHidden/>
    <w:unhideWhenUsed/>
    <w:rsid w:val="005A0EA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A0EA0"/>
    <w:rPr>
      <w:rFonts w:ascii="Tahoma" w:hAnsi="Tahoma" w:cs="Tahoma"/>
      <w:sz w:val="16"/>
      <w:szCs w:val="16"/>
    </w:rPr>
  </w:style>
  <w:style w:type="paragraph" w:styleId="Paragraphedeliste">
    <w:name w:val="List Paragraph"/>
    <w:basedOn w:val="Normal"/>
    <w:uiPriority w:val="34"/>
    <w:qFormat/>
    <w:rsid w:val="0015272A"/>
    <w:pPr>
      <w:ind w:left="720"/>
      <w:contextualSpacing/>
    </w:pPr>
  </w:style>
  <w:style w:type="character" w:styleId="CitationHTML">
    <w:name w:val="HTML Cite"/>
    <w:basedOn w:val="Policepardfaut"/>
    <w:uiPriority w:val="99"/>
    <w:semiHidden/>
    <w:unhideWhenUsed/>
    <w:rsid w:val="006237B7"/>
    <w:rPr>
      <w:i/>
      <w:iCs/>
    </w:rPr>
  </w:style>
  <w:style w:type="character" w:styleId="Lienhypertexte">
    <w:name w:val="Hyperlink"/>
    <w:basedOn w:val="Policepardfaut"/>
    <w:uiPriority w:val="99"/>
    <w:unhideWhenUsed/>
    <w:rsid w:val="0097680C"/>
    <w:rPr>
      <w:color w:val="0000FF" w:themeColor="hyperlink"/>
      <w:u w:val="single"/>
    </w:rPr>
  </w:style>
  <w:style w:type="paragraph" w:customStyle="1" w:styleId="Default">
    <w:name w:val="Default"/>
    <w:rsid w:val="00880D4C"/>
    <w:pPr>
      <w:autoSpaceDE w:val="0"/>
      <w:autoSpaceDN w:val="0"/>
      <w:adjustRightInd w:val="0"/>
      <w:spacing w:after="0" w:line="240" w:lineRule="auto"/>
    </w:pPr>
    <w:rPr>
      <w:rFonts w:ascii="Calibri" w:eastAsia="Times New Roman" w:hAnsi="Calibri" w:cs="Calibri"/>
      <w:color w:val="000000"/>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A0EA0"/>
    <w:pPr>
      <w:tabs>
        <w:tab w:val="center" w:pos="4536"/>
        <w:tab w:val="right" w:pos="9072"/>
      </w:tabs>
      <w:spacing w:after="0" w:line="240" w:lineRule="auto"/>
    </w:pPr>
  </w:style>
  <w:style w:type="character" w:customStyle="1" w:styleId="En-tteCar">
    <w:name w:val="En-tête Car"/>
    <w:basedOn w:val="Policepardfaut"/>
    <w:link w:val="En-tte"/>
    <w:uiPriority w:val="99"/>
    <w:rsid w:val="005A0EA0"/>
  </w:style>
  <w:style w:type="paragraph" w:styleId="Pieddepage">
    <w:name w:val="footer"/>
    <w:basedOn w:val="Normal"/>
    <w:link w:val="PieddepageCar"/>
    <w:uiPriority w:val="99"/>
    <w:unhideWhenUsed/>
    <w:rsid w:val="005A0EA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A0EA0"/>
  </w:style>
  <w:style w:type="paragraph" w:styleId="Textedebulles">
    <w:name w:val="Balloon Text"/>
    <w:basedOn w:val="Normal"/>
    <w:link w:val="TextedebullesCar"/>
    <w:uiPriority w:val="99"/>
    <w:semiHidden/>
    <w:unhideWhenUsed/>
    <w:rsid w:val="005A0EA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A0EA0"/>
    <w:rPr>
      <w:rFonts w:ascii="Tahoma" w:hAnsi="Tahoma" w:cs="Tahoma"/>
      <w:sz w:val="16"/>
      <w:szCs w:val="16"/>
    </w:rPr>
  </w:style>
  <w:style w:type="paragraph" w:styleId="Paragraphedeliste">
    <w:name w:val="List Paragraph"/>
    <w:basedOn w:val="Normal"/>
    <w:uiPriority w:val="34"/>
    <w:qFormat/>
    <w:rsid w:val="0015272A"/>
    <w:pPr>
      <w:ind w:left="720"/>
      <w:contextualSpacing/>
    </w:pPr>
  </w:style>
  <w:style w:type="character" w:styleId="CitationHTML">
    <w:name w:val="HTML Cite"/>
    <w:basedOn w:val="Policepardfaut"/>
    <w:uiPriority w:val="99"/>
    <w:semiHidden/>
    <w:unhideWhenUsed/>
    <w:rsid w:val="006237B7"/>
    <w:rPr>
      <w:i/>
      <w:iCs/>
    </w:rPr>
  </w:style>
  <w:style w:type="character" w:styleId="Lienhypertexte">
    <w:name w:val="Hyperlink"/>
    <w:basedOn w:val="Policepardfaut"/>
    <w:uiPriority w:val="99"/>
    <w:unhideWhenUsed/>
    <w:rsid w:val="0097680C"/>
    <w:rPr>
      <w:color w:val="0000FF" w:themeColor="hyperlink"/>
      <w:u w:val="single"/>
    </w:rPr>
  </w:style>
  <w:style w:type="paragraph" w:customStyle="1" w:styleId="Default">
    <w:name w:val="Default"/>
    <w:rsid w:val="00880D4C"/>
    <w:pPr>
      <w:autoSpaceDE w:val="0"/>
      <w:autoSpaceDN w:val="0"/>
      <w:adjustRightInd w:val="0"/>
      <w:spacing w:after="0" w:line="240" w:lineRule="auto"/>
    </w:pPr>
    <w:rPr>
      <w:rFonts w:ascii="Calibri" w:eastAsia="Times New Roman" w:hAnsi="Calibri" w:cs="Calibri"/>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ra.dpe@direccte.gouv.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osalie.kerdo-belibi@direccte.gouv.f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service-public.fr/association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6AC6A-E4C6-437E-814B-7DF79447D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2387</Words>
  <Characters>13130</Characters>
  <Application>Microsoft Office Word</Application>
  <DocSecurity>0</DocSecurity>
  <Lines>109</Lines>
  <Paragraphs>30</Paragraphs>
  <ScaleCrop>false</ScaleCrop>
  <HeadingPairs>
    <vt:vector size="2" baseType="variant">
      <vt:variant>
        <vt:lpstr>Titre</vt:lpstr>
      </vt:variant>
      <vt:variant>
        <vt:i4>1</vt:i4>
      </vt:variant>
    </vt:vector>
  </HeadingPairs>
  <TitlesOfParts>
    <vt:vector size="1" baseType="lpstr">
      <vt:lpstr/>
    </vt:vector>
  </TitlesOfParts>
  <Company>Ministère du travail</Company>
  <LinksUpToDate>false</LinksUpToDate>
  <CharactersWithSpaces>15487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DURAND Nicolas (DR-RHONA)</dc:creator>
  <cp:lastModifiedBy>FONBAUSTIER Anne-Laure2 (DR-ARA)</cp:lastModifiedBy>
  <cp:revision>2</cp:revision>
  <cp:lastPrinted>2016-05-09T14:59:00Z</cp:lastPrinted>
  <dcterms:created xsi:type="dcterms:W3CDTF">2020-07-09T16:26:00Z</dcterms:created>
  <dcterms:modified xsi:type="dcterms:W3CDTF">2020-07-09T16:26:00Z</dcterms:modified>
</cp:coreProperties>
</file>