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FC" w:rsidRPr="005D417D" w:rsidRDefault="00FA5523" w:rsidP="00FA5523">
      <w:pPr>
        <w:spacing w:after="0" w:line="240" w:lineRule="auto"/>
        <w:jc w:val="center"/>
        <w:rPr>
          <w:b/>
          <w:sz w:val="24"/>
          <w:szCs w:val="24"/>
        </w:rPr>
      </w:pPr>
      <w:r w:rsidRPr="005D417D">
        <w:rPr>
          <w:b/>
          <w:sz w:val="24"/>
          <w:szCs w:val="24"/>
        </w:rPr>
        <w:t xml:space="preserve">PRST3 </w:t>
      </w:r>
      <w:r w:rsidR="00575F82" w:rsidRPr="005D417D">
        <w:rPr>
          <w:b/>
          <w:sz w:val="24"/>
          <w:szCs w:val="24"/>
        </w:rPr>
        <w:t xml:space="preserve">Auvergne-Rhône-Alpes </w:t>
      </w:r>
      <w:r w:rsidRPr="005D417D">
        <w:rPr>
          <w:b/>
          <w:sz w:val="24"/>
          <w:szCs w:val="24"/>
        </w:rPr>
        <w:t>2016-2020</w:t>
      </w:r>
    </w:p>
    <w:p w:rsidR="00FA5523" w:rsidRPr="005D417D" w:rsidRDefault="00175BE9" w:rsidP="00FA5523">
      <w:pPr>
        <w:spacing w:after="0" w:line="240" w:lineRule="auto"/>
        <w:jc w:val="center"/>
        <w:rPr>
          <w:b/>
          <w:sz w:val="24"/>
          <w:szCs w:val="24"/>
        </w:rPr>
      </w:pPr>
      <w:r w:rsidRPr="005D417D">
        <w:rPr>
          <w:b/>
          <w:sz w:val="24"/>
          <w:szCs w:val="24"/>
        </w:rPr>
        <w:t>FICHE</w:t>
      </w:r>
      <w:r w:rsidR="00FA5523" w:rsidRPr="005D417D">
        <w:rPr>
          <w:b/>
          <w:sz w:val="24"/>
          <w:szCs w:val="24"/>
        </w:rPr>
        <w:t xml:space="preserve"> </w:t>
      </w:r>
      <w:r w:rsidR="00E521D9">
        <w:rPr>
          <w:b/>
          <w:sz w:val="24"/>
          <w:szCs w:val="24"/>
        </w:rPr>
        <w:t xml:space="preserve">ACTION </w:t>
      </w:r>
      <w:r w:rsidR="00FA5523" w:rsidRPr="005D417D">
        <w:rPr>
          <w:b/>
          <w:sz w:val="24"/>
          <w:szCs w:val="24"/>
        </w:rPr>
        <w:t>N°</w:t>
      </w:r>
      <w:r w:rsidR="00A1556C">
        <w:rPr>
          <w:b/>
          <w:sz w:val="24"/>
          <w:szCs w:val="24"/>
        </w:rPr>
        <w:t>2.5.3</w:t>
      </w:r>
    </w:p>
    <w:p w:rsidR="00FA5523" w:rsidRDefault="0006475E" w:rsidP="0006475E">
      <w:pPr>
        <w:spacing w:after="0" w:line="240" w:lineRule="auto"/>
        <w:jc w:val="center"/>
        <w:rPr>
          <w:b/>
          <w:sz w:val="24"/>
          <w:szCs w:val="24"/>
        </w:rPr>
      </w:pPr>
      <w:r>
        <w:rPr>
          <w:b/>
          <w:sz w:val="24"/>
          <w:szCs w:val="24"/>
        </w:rPr>
        <w:t>Observatoire des inaptitudes</w:t>
      </w:r>
    </w:p>
    <w:p w:rsidR="0006475E" w:rsidRPr="009A27F1" w:rsidRDefault="0006475E" w:rsidP="0006475E">
      <w:pPr>
        <w:spacing w:after="0" w:line="240" w:lineRule="auto"/>
        <w:jc w:val="center"/>
        <w:rPr>
          <w:sz w:val="16"/>
        </w:rPr>
      </w:pPr>
    </w:p>
    <w:tbl>
      <w:tblPr>
        <w:tblStyle w:val="Grilledutableau"/>
        <w:tblW w:w="10740" w:type="dxa"/>
        <w:tblLook w:val="04A0" w:firstRow="1" w:lastRow="0" w:firstColumn="1" w:lastColumn="0" w:noHBand="0" w:noVBand="1"/>
      </w:tblPr>
      <w:tblGrid>
        <w:gridCol w:w="1809"/>
        <w:gridCol w:w="8931"/>
      </w:tblGrid>
      <w:tr w:rsidR="00575F82" w:rsidTr="00624888">
        <w:tc>
          <w:tcPr>
            <w:tcW w:w="1809" w:type="dxa"/>
            <w:vMerge w:val="restart"/>
            <w:shd w:val="clear" w:color="auto" w:fill="DBE5F1" w:themeFill="accent1" w:themeFillTint="33"/>
          </w:tcPr>
          <w:p w:rsidR="00575F82" w:rsidRPr="0026351F" w:rsidRDefault="00575F82" w:rsidP="00FA5523">
            <w:pPr>
              <w:jc w:val="both"/>
              <w:rPr>
                <w:b/>
                <w:sz w:val="20"/>
              </w:rPr>
            </w:pPr>
          </w:p>
          <w:p w:rsidR="00575F82" w:rsidRPr="0026351F" w:rsidRDefault="00575F82" w:rsidP="00FA5523">
            <w:pPr>
              <w:jc w:val="both"/>
              <w:rPr>
                <w:b/>
                <w:sz w:val="20"/>
              </w:rPr>
            </w:pPr>
            <w:r w:rsidRPr="0026351F">
              <w:rPr>
                <w:b/>
                <w:sz w:val="20"/>
              </w:rPr>
              <w:t>Référence du PST</w:t>
            </w:r>
          </w:p>
          <w:p w:rsidR="00575F82" w:rsidRPr="0026351F" w:rsidRDefault="00575F82" w:rsidP="00FA5523">
            <w:pPr>
              <w:jc w:val="both"/>
              <w:rPr>
                <w:b/>
                <w:sz w:val="20"/>
              </w:rPr>
            </w:pPr>
          </w:p>
        </w:tc>
        <w:tc>
          <w:tcPr>
            <w:tcW w:w="8931" w:type="dxa"/>
          </w:tcPr>
          <w:p w:rsidR="00575F82" w:rsidRPr="002E2000" w:rsidRDefault="00575F82" w:rsidP="00575F82">
            <w:pPr>
              <w:jc w:val="both"/>
              <w:rPr>
                <w:sz w:val="20"/>
                <w:szCs w:val="20"/>
              </w:rPr>
            </w:pPr>
            <w:r w:rsidRPr="002E2000">
              <w:rPr>
                <w:sz w:val="20"/>
                <w:szCs w:val="20"/>
              </w:rPr>
              <w:t>Axe</w:t>
            </w:r>
            <w:r w:rsidR="007D4752" w:rsidRPr="002E2000">
              <w:rPr>
                <w:sz w:val="20"/>
                <w:szCs w:val="20"/>
              </w:rPr>
              <w:t> </w:t>
            </w:r>
            <w:r w:rsidR="0003516F" w:rsidRPr="002E2000">
              <w:rPr>
                <w:sz w:val="20"/>
                <w:szCs w:val="20"/>
              </w:rPr>
              <w:t>stratégique 2</w:t>
            </w:r>
            <w:r w:rsidR="002E2000">
              <w:rPr>
                <w:sz w:val="20"/>
                <w:szCs w:val="20"/>
              </w:rPr>
              <w:t> : A</w:t>
            </w:r>
            <w:r w:rsidR="0003516F" w:rsidRPr="002E2000">
              <w:rPr>
                <w:sz w:val="20"/>
                <w:szCs w:val="20"/>
              </w:rPr>
              <w:t>méliorer la qualité de vie au travail, levier de santé de maintien dans l’emploi des travailleurs et de performance économique et sociale de l’entreprise</w:t>
            </w:r>
          </w:p>
          <w:p w:rsidR="006C301B" w:rsidRPr="002E2000" w:rsidRDefault="006C301B" w:rsidP="00F02686">
            <w:pPr>
              <w:jc w:val="both"/>
              <w:rPr>
                <w:sz w:val="20"/>
                <w:szCs w:val="20"/>
              </w:rPr>
            </w:pPr>
            <w:r w:rsidRPr="002E2000">
              <w:rPr>
                <w:sz w:val="20"/>
                <w:szCs w:val="20"/>
              </w:rPr>
              <w:t xml:space="preserve">Axe </w:t>
            </w:r>
            <w:r w:rsidR="00F02686" w:rsidRPr="002E2000">
              <w:rPr>
                <w:sz w:val="20"/>
                <w:szCs w:val="20"/>
              </w:rPr>
              <w:t xml:space="preserve">support : </w:t>
            </w:r>
            <w:r w:rsidR="00F93B56" w:rsidRPr="002E2000">
              <w:rPr>
                <w:bCs/>
                <w:sz w:val="20"/>
                <w:szCs w:val="20"/>
              </w:rPr>
              <w:t>Renforcer le dialogue social et les ressources de la politique de prévention en structurant un système d’acteurs</w:t>
            </w:r>
          </w:p>
        </w:tc>
      </w:tr>
      <w:tr w:rsidR="00575F82" w:rsidTr="00624888">
        <w:tc>
          <w:tcPr>
            <w:tcW w:w="1809" w:type="dxa"/>
            <w:vMerge/>
            <w:shd w:val="clear" w:color="auto" w:fill="DBE5F1" w:themeFill="accent1" w:themeFillTint="33"/>
          </w:tcPr>
          <w:p w:rsidR="00575F82" w:rsidRPr="0026351F" w:rsidRDefault="00575F82" w:rsidP="00FA5523">
            <w:pPr>
              <w:jc w:val="both"/>
              <w:rPr>
                <w:b/>
                <w:sz w:val="20"/>
              </w:rPr>
            </w:pPr>
          </w:p>
        </w:tc>
        <w:tc>
          <w:tcPr>
            <w:tcW w:w="8931" w:type="dxa"/>
          </w:tcPr>
          <w:p w:rsidR="00F93B56" w:rsidRPr="002E2000" w:rsidRDefault="00575F82" w:rsidP="00575F82">
            <w:pPr>
              <w:jc w:val="both"/>
              <w:rPr>
                <w:sz w:val="20"/>
                <w:szCs w:val="20"/>
              </w:rPr>
            </w:pPr>
            <w:r w:rsidRPr="002E2000">
              <w:rPr>
                <w:sz w:val="20"/>
                <w:szCs w:val="20"/>
              </w:rPr>
              <w:t>Objectif</w:t>
            </w:r>
            <w:r w:rsidR="002E2000">
              <w:rPr>
                <w:sz w:val="20"/>
                <w:szCs w:val="20"/>
              </w:rPr>
              <w:t xml:space="preserve"> opérationnel </w:t>
            </w:r>
            <w:r w:rsidR="0003516F" w:rsidRPr="002E2000">
              <w:rPr>
                <w:sz w:val="20"/>
                <w:szCs w:val="20"/>
              </w:rPr>
              <w:t xml:space="preserve">5 : </w:t>
            </w:r>
            <w:r w:rsidR="00F93B56" w:rsidRPr="002E2000">
              <w:rPr>
                <w:sz w:val="20"/>
                <w:szCs w:val="20"/>
              </w:rPr>
              <w:t>prévenir la désinsertion professionnelle et maintenir en emploi</w:t>
            </w:r>
            <w:r w:rsidR="0003516F" w:rsidRPr="002E2000">
              <w:rPr>
                <w:sz w:val="20"/>
                <w:szCs w:val="20"/>
              </w:rPr>
              <w:t xml:space="preserve"> </w:t>
            </w:r>
          </w:p>
          <w:p w:rsidR="00575F82" w:rsidRPr="002E2000" w:rsidRDefault="00F93B56" w:rsidP="00F93B56">
            <w:pPr>
              <w:jc w:val="both"/>
            </w:pPr>
            <w:r w:rsidRPr="002E2000">
              <w:rPr>
                <w:sz w:val="20"/>
                <w:szCs w:val="20"/>
              </w:rPr>
              <w:t>Objectif</w:t>
            </w:r>
            <w:r w:rsidR="00F02686" w:rsidRPr="002E2000">
              <w:rPr>
                <w:sz w:val="20"/>
                <w:szCs w:val="20"/>
              </w:rPr>
              <w:t xml:space="preserve"> opérationnel 10</w:t>
            </w:r>
            <w:r w:rsidRPr="002E2000">
              <w:rPr>
                <w:sz w:val="20"/>
                <w:szCs w:val="20"/>
              </w:rPr>
              <w:t> : « connaissances » pour contribuer à l’action 3.13.</w:t>
            </w:r>
          </w:p>
        </w:tc>
      </w:tr>
      <w:tr w:rsidR="00575F82" w:rsidTr="00624888">
        <w:tc>
          <w:tcPr>
            <w:tcW w:w="1809" w:type="dxa"/>
            <w:vMerge/>
            <w:shd w:val="clear" w:color="auto" w:fill="DBE5F1" w:themeFill="accent1" w:themeFillTint="33"/>
          </w:tcPr>
          <w:p w:rsidR="00575F82" w:rsidRPr="0026351F" w:rsidRDefault="00575F82" w:rsidP="00FA5523">
            <w:pPr>
              <w:jc w:val="both"/>
              <w:rPr>
                <w:b/>
                <w:sz w:val="20"/>
              </w:rPr>
            </w:pPr>
          </w:p>
        </w:tc>
        <w:tc>
          <w:tcPr>
            <w:tcW w:w="8931" w:type="dxa"/>
          </w:tcPr>
          <w:p w:rsidR="00575F82" w:rsidRPr="002E2000" w:rsidRDefault="00575F82" w:rsidP="006C301B">
            <w:pPr>
              <w:jc w:val="both"/>
              <w:rPr>
                <w:sz w:val="20"/>
                <w:szCs w:val="20"/>
              </w:rPr>
            </w:pPr>
            <w:r w:rsidRPr="002E2000">
              <w:rPr>
                <w:sz w:val="20"/>
                <w:szCs w:val="20"/>
              </w:rPr>
              <w:t>Action</w:t>
            </w:r>
            <w:r w:rsidR="0003516F" w:rsidRPr="002E2000">
              <w:rPr>
                <w:sz w:val="20"/>
                <w:szCs w:val="20"/>
              </w:rPr>
              <w:t xml:space="preserve"> 2.</w:t>
            </w:r>
            <w:r w:rsidR="006C301B" w:rsidRPr="002E2000">
              <w:rPr>
                <w:sz w:val="20"/>
                <w:szCs w:val="20"/>
              </w:rPr>
              <w:t>8</w:t>
            </w:r>
            <w:r w:rsidR="0003516F" w:rsidRPr="002E2000">
              <w:rPr>
                <w:sz w:val="20"/>
                <w:szCs w:val="20"/>
              </w:rPr>
              <w:t xml:space="preserve">. : </w:t>
            </w:r>
            <w:r w:rsidR="006C301B" w:rsidRPr="002E2000">
              <w:rPr>
                <w:sz w:val="20"/>
                <w:szCs w:val="20"/>
              </w:rPr>
              <w:t>développer, mobiliser, diffuser les connaissances et les outils concourant au maintien en emploi</w:t>
            </w:r>
          </w:p>
          <w:p w:rsidR="00F93B56" w:rsidRPr="002E2000" w:rsidRDefault="002E2000" w:rsidP="00F93B56">
            <w:pPr>
              <w:jc w:val="both"/>
              <w:rPr>
                <w:sz w:val="20"/>
                <w:szCs w:val="20"/>
              </w:rPr>
            </w:pPr>
            <w:r>
              <w:rPr>
                <w:sz w:val="20"/>
                <w:szCs w:val="20"/>
              </w:rPr>
              <w:t xml:space="preserve">Action 3.13 </w:t>
            </w:r>
            <w:r w:rsidR="00F93B56" w:rsidRPr="002E2000">
              <w:rPr>
                <w:sz w:val="20"/>
                <w:szCs w:val="20"/>
              </w:rPr>
              <w:t>:</w:t>
            </w:r>
            <w:r w:rsidR="00033481">
              <w:rPr>
                <w:sz w:val="20"/>
                <w:szCs w:val="20"/>
              </w:rPr>
              <w:t xml:space="preserve"> </w:t>
            </w:r>
            <w:r w:rsidR="00F93B56" w:rsidRPr="002E2000">
              <w:rPr>
                <w:sz w:val="20"/>
                <w:szCs w:val="20"/>
              </w:rPr>
              <w:t>établir un diagnostic territorial opérationnel</w:t>
            </w:r>
          </w:p>
        </w:tc>
      </w:tr>
      <w:tr w:rsidR="0078268A" w:rsidTr="00624888">
        <w:tc>
          <w:tcPr>
            <w:tcW w:w="1809" w:type="dxa"/>
            <w:shd w:val="clear" w:color="auto" w:fill="DBE5F1" w:themeFill="accent1" w:themeFillTint="33"/>
          </w:tcPr>
          <w:p w:rsidR="0078268A" w:rsidRPr="00F93B56" w:rsidRDefault="0078268A" w:rsidP="00FA5523">
            <w:pPr>
              <w:jc w:val="both"/>
              <w:rPr>
                <w:b/>
                <w:sz w:val="20"/>
                <w:szCs w:val="20"/>
              </w:rPr>
            </w:pPr>
            <w:r w:rsidRPr="00F93B56">
              <w:rPr>
                <w:b/>
                <w:sz w:val="20"/>
                <w:szCs w:val="20"/>
              </w:rPr>
              <w:t>Lien avec d’autres plans</w:t>
            </w:r>
          </w:p>
        </w:tc>
        <w:tc>
          <w:tcPr>
            <w:tcW w:w="8931" w:type="dxa"/>
          </w:tcPr>
          <w:p w:rsidR="0078268A" w:rsidRPr="00F93B56" w:rsidRDefault="0078268A" w:rsidP="006115D9">
            <w:pPr>
              <w:jc w:val="both"/>
              <w:rPr>
                <w:sz w:val="20"/>
                <w:szCs w:val="20"/>
              </w:rPr>
            </w:pPr>
          </w:p>
        </w:tc>
      </w:tr>
      <w:tr w:rsidR="0078268A" w:rsidTr="00624888">
        <w:tc>
          <w:tcPr>
            <w:tcW w:w="1809" w:type="dxa"/>
            <w:shd w:val="clear" w:color="auto" w:fill="DBE5F1" w:themeFill="accent1" w:themeFillTint="33"/>
          </w:tcPr>
          <w:p w:rsidR="0078268A" w:rsidRPr="0026351F" w:rsidRDefault="0078268A" w:rsidP="00FA5523">
            <w:pPr>
              <w:jc w:val="both"/>
              <w:rPr>
                <w:b/>
                <w:sz w:val="20"/>
              </w:rPr>
            </w:pPr>
            <w:r w:rsidRPr="0026351F">
              <w:rPr>
                <w:b/>
                <w:sz w:val="20"/>
              </w:rPr>
              <w:t>Lien avec les CPOM</w:t>
            </w:r>
          </w:p>
        </w:tc>
        <w:tc>
          <w:tcPr>
            <w:tcW w:w="8931" w:type="dxa"/>
          </w:tcPr>
          <w:p w:rsidR="00F93B56" w:rsidRPr="00575F82" w:rsidRDefault="00F93B56" w:rsidP="00575F82">
            <w:pPr>
              <w:jc w:val="both"/>
              <w:rPr>
                <w:sz w:val="20"/>
                <w:szCs w:val="20"/>
              </w:rPr>
            </w:pPr>
            <w:r>
              <w:rPr>
                <w:sz w:val="20"/>
                <w:szCs w:val="20"/>
              </w:rPr>
              <w:t>Action inscrite dans les CPOM des 30 services interentreprises du secteur Rhône-Alpes de la région Auvergne-Rhône-Alpes</w:t>
            </w:r>
          </w:p>
        </w:tc>
      </w:tr>
    </w:tbl>
    <w:p w:rsidR="0078268A" w:rsidRPr="009A27F1" w:rsidRDefault="0078268A" w:rsidP="00FA5523">
      <w:pPr>
        <w:spacing w:after="0" w:line="240" w:lineRule="auto"/>
        <w:jc w:val="both"/>
        <w:rPr>
          <w:sz w:val="16"/>
        </w:rPr>
      </w:pPr>
    </w:p>
    <w:tbl>
      <w:tblPr>
        <w:tblStyle w:val="Grilledutableau"/>
        <w:tblW w:w="10740" w:type="dxa"/>
        <w:tblLook w:val="04A0" w:firstRow="1" w:lastRow="0" w:firstColumn="1" w:lastColumn="0" w:noHBand="0" w:noVBand="1"/>
      </w:tblPr>
      <w:tblGrid>
        <w:gridCol w:w="1242"/>
        <w:gridCol w:w="9498"/>
      </w:tblGrid>
      <w:tr w:rsidR="00F02686" w:rsidTr="00624888">
        <w:tc>
          <w:tcPr>
            <w:tcW w:w="1242" w:type="dxa"/>
            <w:shd w:val="clear" w:color="auto" w:fill="DBE5F1" w:themeFill="accent1" w:themeFillTint="33"/>
          </w:tcPr>
          <w:p w:rsidR="00F02686" w:rsidRDefault="00F02686" w:rsidP="00CB524C">
            <w:pPr>
              <w:jc w:val="both"/>
              <w:rPr>
                <w:b/>
                <w:sz w:val="20"/>
              </w:rPr>
            </w:pPr>
          </w:p>
          <w:p w:rsidR="00F02686" w:rsidRDefault="00F02686" w:rsidP="00CB524C">
            <w:pPr>
              <w:jc w:val="both"/>
              <w:rPr>
                <w:b/>
                <w:sz w:val="20"/>
              </w:rPr>
            </w:pPr>
          </w:p>
          <w:p w:rsidR="00F02686" w:rsidRDefault="002E2000" w:rsidP="00CB524C">
            <w:pPr>
              <w:jc w:val="both"/>
              <w:rPr>
                <w:b/>
                <w:sz w:val="20"/>
              </w:rPr>
            </w:pPr>
            <w:r>
              <w:rPr>
                <w:b/>
                <w:sz w:val="20"/>
              </w:rPr>
              <w:t>Problème</w:t>
            </w:r>
          </w:p>
          <w:p w:rsidR="00A04E4F" w:rsidRDefault="00A04E4F" w:rsidP="00CB524C">
            <w:pPr>
              <w:jc w:val="both"/>
              <w:rPr>
                <w:b/>
                <w:sz w:val="20"/>
              </w:rPr>
            </w:pPr>
          </w:p>
          <w:p w:rsidR="00A04E4F" w:rsidRPr="0026351F" w:rsidRDefault="00A04E4F" w:rsidP="00CB524C">
            <w:pPr>
              <w:jc w:val="both"/>
              <w:rPr>
                <w:b/>
                <w:sz w:val="20"/>
              </w:rPr>
            </w:pPr>
          </w:p>
        </w:tc>
        <w:tc>
          <w:tcPr>
            <w:tcW w:w="9498" w:type="dxa"/>
          </w:tcPr>
          <w:p w:rsidR="00F93B56" w:rsidRPr="00296567" w:rsidRDefault="00F93B56" w:rsidP="00F93B56">
            <w:pPr>
              <w:jc w:val="both"/>
              <w:rPr>
                <w:rFonts w:cstheme="minorHAnsi"/>
                <w:i/>
                <w:sz w:val="20"/>
                <w:szCs w:val="20"/>
              </w:rPr>
            </w:pPr>
            <w:r w:rsidRPr="00F93B56">
              <w:rPr>
                <w:rFonts w:cstheme="minorHAnsi"/>
                <w:sz w:val="20"/>
                <w:szCs w:val="20"/>
              </w:rPr>
              <w:t>Le maintien en emploi</w:t>
            </w:r>
            <w:r w:rsidRPr="00F93B56">
              <w:rPr>
                <w:rFonts w:cstheme="minorHAnsi"/>
                <w:i/>
                <w:sz w:val="20"/>
                <w:szCs w:val="20"/>
              </w:rPr>
              <w:t xml:space="preserve"> </w:t>
            </w:r>
            <w:r w:rsidRPr="00296567">
              <w:rPr>
                <w:rFonts w:cstheme="minorHAnsi"/>
                <w:sz w:val="20"/>
                <w:szCs w:val="20"/>
              </w:rPr>
              <w:t xml:space="preserve">est une préoccupation majeure partagée </w:t>
            </w:r>
            <w:r w:rsidR="00296567">
              <w:rPr>
                <w:rFonts w:cstheme="minorHAnsi"/>
                <w:sz w:val="20"/>
                <w:szCs w:val="20"/>
              </w:rPr>
              <w:t>de</w:t>
            </w:r>
            <w:r w:rsidRPr="00296567">
              <w:rPr>
                <w:rFonts w:cstheme="minorHAnsi"/>
                <w:sz w:val="20"/>
                <w:szCs w:val="20"/>
              </w:rPr>
              <w:t xml:space="preserve"> tous</w:t>
            </w:r>
            <w:r w:rsidR="00296567">
              <w:rPr>
                <w:rFonts w:cstheme="minorHAnsi"/>
                <w:sz w:val="20"/>
                <w:szCs w:val="20"/>
              </w:rPr>
              <w:t>, travailleurs, en</w:t>
            </w:r>
            <w:r w:rsidR="00BB56DD">
              <w:rPr>
                <w:rFonts w:cstheme="minorHAnsi"/>
                <w:sz w:val="20"/>
                <w:szCs w:val="20"/>
              </w:rPr>
              <w:t>treprises, partenaires sociaux,</w:t>
            </w:r>
            <w:r w:rsidR="00296567">
              <w:rPr>
                <w:rFonts w:cstheme="minorHAnsi"/>
                <w:sz w:val="20"/>
                <w:szCs w:val="20"/>
              </w:rPr>
              <w:t xml:space="preserve"> </w:t>
            </w:r>
            <w:r w:rsidRPr="00296567">
              <w:rPr>
                <w:rFonts w:cstheme="minorHAnsi"/>
                <w:sz w:val="20"/>
                <w:szCs w:val="20"/>
              </w:rPr>
              <w:t xml:space="preserve">acteurs de la santé </w:t>
            </w:r>
            <w:r w:rsidR="00296567">
              <w:rPr>
                <w:rFonts w:cstheme="minorHAnsi"/>
                <w:sz w:val="20"/>
                <w:szCs w:val="20"/>
              </w:rPr>
              <w:t xml:space="preserve">et de la santé au travail dans un contexte de vieillissement de la population active et </w:t>
            </w:r>
            <w:r w:rsidR="00E021A4">
              <w:rPr>
                <w:rFonts w:cstheme="minorHAnsi"/>
                <w:sz w:val="20"/>
                <w:szCs w:val="20"/>
              </w:rPr>
              <w:t>d</w:t>
            </w:r>
            <w:r w:rsidR="00296567" w:rsidRPr="00296567">
              <w:rPr>
                <w:rFonts w:cstheme="minorHAnsi"/>
                <w:sz w:val="20"/>
                <w:szCs w:val="20"/>
              </w:rPr>
              <w:t>’a</w:t>
            </w:r>
            <w:r w:rsidRPr="00296567">
              <w:rPr>
                <w:rFonts w:cstheme="minorHAnsi"/>
                <w:sz w:val="20"/>
                <w:szCs w:val="20"/>
              </w:rPr>
              <w:t>llongement des parcours professionnels</w:t>
            </w:r>
            <w:r w:rsidR="00296567" w:rsidRPr="00296567">
              <w:rPr>
                <w:rFonts w:cstheme="minorHAnsi"/>
                <w:sz w:val="20"/>
                <w:szCs w:val="20"/>
              </w:rPr>
              <w:t>.</w:t>
            </w:r>
            <w:r w:rsidR="00296567">
              <w:rPr>
                <w:rFonts w:cstheme="minorHAnsi"/>
                <w:sz w:val="20"/>
                <w:szCs w:val="20"/>
              </w:rPr>
              <w:t xml:space="preserve"> </w:t>
            </w:r>
          </w:p>
          <w:p w:rsidR="00F93B56" w:rsidRDefault="00296567" w:rsidP="00F93B56">
            <w:pPr>
              <w:jc w:val="both"/>
              <w:rPr>
                <w:rFonts w:cstheme="minorHAnsi"/>
                <w:i/>
                <w:sz w:val="20"/>
                <w:szCs w:val="20"/>
              </w:rPr>
            </w:pPr>
            <w:r>
              <w:rPr>
                <w:rFonts w:cstheme="minorHAnsi"/>
                <w:sz w:val="20"/>
                <w:szCs w:val="20"/>
              </w:rPr>
              <w:t xml:space="preserve">Les situations d’inaptitude ont un </w:t>
            </w:r>
            <w:r w:rsidRPr="00296567">
              <w:rPr>
                <w:rFonts w:cstheme="minorHAnsi"/>
                <w:sz w:val="20"/>
                <w:szCs w:val="20"/>
              </w:rPr>
              <w:t>c</w:t>
            </w:r>
            <w:r w:rsidR="009A10BD" w:rsidRPr="00296567">
              <w:rPr>
                <w:rFonts w:cstheme="minorHAnsi"/>
                <w:sz w:val="20"/>
                <w:szCs w:val="20"/>
              </w:rPr>
              <w:t>oût humain</w:t>
            </w:r>
            <w:r>
              <w:rPr>
                <w:rFonts w:cstheme="minorHAnsi"/>
                <w:sz w:val="20"/>
                <w:szCs w:val="20"/>
              </w:rPr>
              <w:t xml:space="preserve"> individuel, un coût </w:t>
            </w:r>
            <w:r w:rsidR="009A10BD" w:rsidRPr="00296567">
              <w:rPr>
                <w:rFonts w:cstheme="minorHAnsi"/>
                <w:sz w:val="20"/>
                <w:szCs w:val="20"/>
              </w:rPr>
              <w:t>pour l’</w:t>
            </w:r>
            <w:r w:rsidRPr="00296567">
              <w:rPr>
                <w:rFonts w:cstheme="minorHAnsi"/>
                <w:sz w:val="20"/>
                <w:szCs w:val="20"/>
              </w:rPr>
              <w:t>entreprise</w:t>
            </w:r>
            <w:r w:rsidR="009A10BD">
              <w:rPr>
                <w:rFonts w:cstheme="minorHAnsi"/>
                <w:i/>
                <w:sz w:val="20"/>
                <w:szCs w:val="20"/>
              </w:rPr>
              <w:t xml:space="preserve"> </w:t>
            </w:r>
            <w:r w:rsidR="00E021A4">
              <w:rPr>
                <w:rFonts w:cstheme="minorHAnsi"/>
                <w:sz w:val="20"/>
                <w:szCs w:val="20"/>
              </w:rPr>
              <w:t>et</w:t>
            </w:r>
            <w:r w:rsidR="009A10BD" w:rsidRPr="00296567">
              <w:rPr>
                <w:rFonts w:cstheme="minorHAnsi"/>
                <w:sz w:val="20"/>
                <w:szCs w:val="20"/>
              </w:rPr>
              <w:t xml:space="preserve"> aussi </w:t>
            </w:r>
            <w:r w:rsidRPr="00296567">
              <w:rPr>
                <w:rFonts w:cstheme="minorHAnsi"/>
                <w:sz w:val="20"/>
                <w:szCs w:val="20"/>
              </w:rPr>
              <w:t>un coût</w:t>
            </w:r>
            <w:r w:rsidR="009A10BD" w:rsidRPr="00296567">
              <w:rPr>
                <w:rFonts w:cstheme="minorHAnsi"/>
                <w:sz w:val="20"/>
                <w:szCs w:val="20"/>
              </w:rPr>
              <w:t xml:space="preserve"> sociétal</w:t>
            </w:r>
            <w:r w:rsidRPr="00296567">
              <w:rPr>
                <w:rFonts w:cstheme="minorHAnsi"/>
                <w:sz w:val="20"/>
                <w:szCs w:val="20"/>
              </w:rPr>
              <w:t>.</w:t>
            </w:r>
          </w:p>
          <w:p w:rsidR="00221C69" w:rsidRDefault="00F93B56" w:rsidP="00A04E4F">
            <w:pPr>
              <w:jc w:val="both"/>
              <w:rPr>
                <w:rFonts w:cstheme="minorHAnsi"/>
                <w:sz w:val="20"/>
              </w:rPr>
            </w:pPr>
            <w:r w:rsidRPr="00F93B56">
              <w:rPr>
                <w:rFonts w:cstheme="minorHAnsi"/>
                <w:sz w:val="20"/>
                <w:szCs w:val="20"/>
              </w:rPr>
              <w:t xml:space="preserve">Il existe un manque de visibilité des situations de désinsertion professionnelle en lien avec les inaptitudes tant sur le plan quantitatif que sur le plan qualitatif. Les données disponibles dans les rapports annuels des médecins du travail ne permettent pas de caractériser les salariés déclarés inaptes et les postes de travail qu’ils occupent. </w:t>
            </w:r>
            <w:r w:rsidR="000C30F6">
              <w:rPr>
                <w:rFonts w:cstheme="minorHAnsi"/>
                <w:sz w:val="20"/>
                <w:szCs w:val="20"/>
              </w:rPr>
              <w:t>L</w:t>
            </w:r>
            <w:r w:rsidRPr="00F93B56">
              <w:rPr>
                <w:rFonts w:cstheme="minorHAnsi"/>
                <w:sz w:val="20"/>
                <w:szCs w:val="20"/>
              </w:rPr>
              <w:t xml:space="preserve">a </w:t>
            </w:r>
            <w:r w:rsidR="009A10BD" w:rsidRPr="000C30F6">
              <w:rPr>
                <w:rFonts w:cstheme="minorHAnsi"/>
                <w:sz w:val="20"/>
              </w:rPr>
              <w:t xml:space="preserve">meilleure connaissance des situations </w:t>
            </w:r>
            <w:r w:rsidR="000C30F6" w:rsidRPr="000C30F6">
              <w:rPr>
                <w:rFonts w:cstheme="minorHAnsi"/>
                <w:sz w:val="20"/>
              </w:rPr>
              <w:t xml:space="preserve">médicales et professionnelles </w:t>
            </w:r>
            <w:r w:rsidR="009A10BD" w:rsidRPr="000C30F6">
              <w:rPr>
                <w:rFonts w:cstheme="minorHAnsi"/>
                <w:sz w:val="20"/>
              </w:rPr>
              <w:t>entrainant des inaptitudes qu</w:t>
            </w:r>
            <w:r w:rsidR="00296567" w:rsidRPr="000C30F6">
              <w:rPr>
                <w:rFonts w:cstheme="minorHAnsi"/>
                <w:sz w:val="20"/>
              </w:rPr>
              <w:t xml:space="preserve">e celles-ci </w:t>
            </w:r>
            <w:r w:rsidR="009A10BD" w:rsidRPr="000C30F6">
              <w:rPr>
                <w:rFonts w:cstheme="minorHAnsi"/>
                <w:sz w:val="20"/>
              </w:rPr>
              <w:t xml:space="preserve">soient ou non d’origine professionnelle </w:t>
            </w:r>
            <w:r w:rsidR="000C30F6" w:rsidRPr="000C30F6">
              <w:rPr>
                <w:rFonts w:cstheme="minorHAnsi"/>
                <w:sz w:val="20"/>
              </w:rPr>
              <w:t>afin</w:t>
            </w:r>
            <w:r w:rsidR="009A10BD" w:rsidRPr="000C30F6">
              <w:rPr>
                <w:rFonts w:cstheme="minorHAnsi"/>
                <w:sz w:val="20"/>
              </w:rPr>
              <w:t xml:space="preserve"> d’agir tant en prévention tertiaire en améliorant les dispositifs d’accompagnements des salariés et des entreprises et les offres de service </w:t>
            </w:r>
            <w:r w:rsidR="00296567" w:rsidRPr="000C30F6">
              <w:rPr>
                <w:rFonts w:cstheme="minorHAnsi"/>
                <w:sz w:val="20"/>
              </w:rPr>
              <w:t>en vue du</w:t>
            </w:r>
            <w:r w:rsidR="009A10BD" w:rsidRPr="000C30F6">
              <w:rPr>
                <w:rFonts w:cstheme="minorHAnsi"/>
                <w:sz w:val="20"/>
              </w:rPr>
              <w:t xml:space="preserve"> maintien en entreprise ou en emploi, </w:t>
            </w:r>
            <w:r w:rsidR="00296567" w:rsidRPr="000C30F6">
              <w:rPr>
                <w:rFonts w:cstheme="minorHAnsi"/>
                <w:sz w:val="20"/>
              </w:rPr>
              <w:t xml:space="preserve">en prévention secondaire en alimentant des réflexions sur la gestion des parcours professionnels des métiers ou secteurs les plus à risques afin de prévenir la désinsertion professionnelle en amont, </w:t>
            </w:r>
            <w:r w:rsidR="009A10BD" w:rsidRPr="000C30F6">
              <w:rPr>
                <w:rFonts w:cstheme="minorHAnsi"/>
                <w:sz w:val="20"/>
              </w:rPr>
              <w:t xml:space="preserve">qu’en prévention primaire pour prioriser les actions </w:t>
            </w:r>
            <w:r w:rsidR="00296567" w:rsidRPr="000C30F6">
              <w:rPr>
                <w:rFonts w:cstheme="minorHAnsi"/>
                <w:sz w:val="20"/>
              </w:rPr>
              <w:t xml:space="preserve">de prévention </w:t>
            </w:r>
            <w:r w:rsidR="00E021A4">
              <w:rPr>
                <w:rFonts w:cstheme="minorHAnsi"/>
                <w:sz w:val="20"/>
              </w:rPr>
              <w:t xml:space="preserve">des risques professionnels </w:t>
            </w:r>
            <w:r w:rsidR="009A10BD" w:rsidRPr="000C30F6">
              <w:rPr>
                <w:rFonts w:cstheme="minorHAnsi"/>
                <w:sz w:val="20"/>
              </w:rPr>
              <w:t xml:space="preserve">sur les secteurs </w:t>
            </w:r>
            <w:r w:rsidR="00296567" w:rsidRPr="000C30F6">
              <w:rPr>
                <w:rFonts w:cstheme="minorHAnsi"/>
                <w:sz w:val="20"/>
              </w:rPr>
              <w:t xml:space="preserve">d’activité </w:t>
            </w:r>
            <w:r w:rsidR="009A10BD" w:rsidRPr="000C30F6">
              <w:rPr>
                <w:rFonts w:cstheme="minorHAnsi"/>
                <w:sz w:val="20"/>
              </w:rPr>
              <w:t xml:space="preserve">ou </w:t>
            </w:r>
            <w:r w:rsidR="00296567" w:rsidRPr="000C30F6">
              <w:rPr>
                <w:rFonts w:cstheme="minorHAnsi"/>
                <w:sz w:val="20"/>
              </w:rPr>
              <w:t xml:space="preserve">sur les </w:t>
            </w:r>
            <w:r w:rsidR="009A10BD" w:rsidRPr="000C30F6">
              <w:rPr>
                <w:rFonts w:cstheme="minorHAnsi"/>
                <w:sz w:val="20"/>
              </w:rPr>
              <w:t xml:space="preserve">situations professionnelles les plus </w:t>
            </w:r>
            <w:r w:rsidR="00296567" w:rsidRPr="000C30F6">
              <w:rPr>
                <w:rFonts w:cstheme="minorHAnsi"/>
                <w:sz w:val="20"/>
              </w:rPr>
              <w:t>à</w:t>
            </w:r>
            <w:r w:rsidR="009A10BD" w:rsidRPr="000C30F6">
              <w:rPr>
                <w:rFonts w:cstheme="minorHAnsi"/>
                <w:sz w:val="20"/>
              </w:rPr>
              <w:t xml:space="preserve"> risques d’inaptitudes</w:t>
            </w:r>
            <w:r w:rsidR="00221C69">
              <w:rPr>
                <w:rFonts w:cstheme="minorHAnsi"/>
                <w:sz w:val="20"/>
              </w:rPr>
              <w:t>.</w:t>
            </w:r>
          </w:p>
          <w:p w:rsidR="002E2000" w:rsidRDefault="002E2000" w:rsidP="00221C69">
            <w:pPr>
              <w:jc w:val="both"/>
              <w:rPr>
                <w:rFonts w:cstheme="minorHAnsi"/>
                <w:sz w:val="20"/>
              </w:rPr>
            </w:pPr>
            <w:r>
              <w:rPr>
                <w:rFonts w:cstheme="minorHAnsi"/>
                <w:sz w:val="20"/>
              </w:rPr>
              <w:t>Autres liens :</w:t>
            </w:r>
          </w:p>
          <w:p w:rsidR="00221C69" w:rsidRPr="000C30F6" w:rsidRDefault="002E2000" w:rsidP="00221C69">
            <w:pPr>
              <w:jc w:val="both"/>
              <w:rPr>
                <w:rFonts w:cstheme="minorHAnsi"/>
                <w:sz w:val="20"/>
                <w:szCs w:val="20"/>
              </w:rPr>
            </w:pPr>
            <w:r>
              <w:rPr>
                <w:rFonts w:cstheme="minorHAnsi"/>
                <w:sz w:val="20"/>
              </w:rPr>
              <w:t xml:space="preserve">- </w:t>
            </w:r>
            <w:r w:rsidR="00221C69" w:rsidRPr="000C30F6">
              <w:rPr>
                <w:rFonts w:cstheme="minorHAnsi"/>
                <w:sz w:val="20"/>
                <w:szCs w:val="20"/>
              </w:rPr>
              <w:t>missions des service</w:t>
            </w:r>
            <w:r w:rsidR="00221C69">
              <w:rPr>
                <w:rFonts w:cstheme="minorHAnsi"/>
                <w:sz w:val="20"/>
                <w:szCs w:val="20"/>
              </w:rPr>
              <w:t>s</w:t>
            </w:r>
            <w:r w:rsidR="00221C69" w:rsidRPr="000C30F6">
              <w:rPr>
                <w:rFonts w:cstheme="minorHAnsi"/>
                <w:sz w:val="20"/>
                <w:szCs w:val="20"/>
              </w:rPr>
              <w:t xml:space="preserve"> de santé au travail définies par la loi du 20 juillet 2011</w:t>
            </w:r>
            <w:r w:rsidR="00221C69">
              <w:rPr>
                <w:rFonts w:cstheme="minorHAnsi"/>
                <w:sz w:val="20"/>
                <w:szCs w:val="20"/>
              </w:rPr>
              <w:t>, l</w:t>
            </w:r>
            <w:r w:rsidR="00221C69" w:rsidRPr="000C30F6">
              <w:rPr>
                <w:rFonts w:cstheme="minorHAnsi"/>
                <w:sz w:val="20"/>
                <w:szCs w:val="20"/>
              </w:rPr>
              <w:t xml:space="preserve">e maintien dans l’emploi est réaffirmé </w:t>
            </w:r>
            <w:r w:rsidR="00221C69">
              <w:rPr>
                <w:rFonts w:cstheme="minorHAnsi"/>
                <w:sz w:val="20"/>
                <w:szCs w:val="20"/>
              </w:rPr>
              <w:t>comme une mission importante des SST</w:t>
            </w:r>
          </w:p>
          <w:p w:rsidR="00F93B56" w:rsidRPr="000C30F6" w:rsidRDefault="002E2000" w:rsidP="00221C69">
            <w:pPr>
              <w:jc w:val="both"/>
              <w:rPr>
                <w:rFonts w:cstheme="minorHAnsi"/>
                <w:sz w:val="20"/>
              </w:rPr>
            </w:pPr>
            <w:r>
              <w:rPr>
                <w:sz w:val="20"/>
                <w:szCs w:val="20"/>
              </w:rPr>
              <w:t xml:space="preserve">- </w:t>
            </w:r>
            <w:r w:rsidR="00221C69">
              <w:rPr>
                <w:sz w:val="20"/>
                <w:szCs w:val="20"/>
              </w:rPr>
              <w:t>c</w:t>
            </w:r>
            <w:r w:rsidR="00221C69" w:rsidRPr="00F93B56">
              <w:rPr>
                <w:sz w:val="20"/>
                <w:szCs w:val="20"/>
              </w:rPr>
              <w:t>harte régionale partenariale du Maintien dans l’</w:t>
            </w:r>
            <w:r w:rsidR="00221C69">
              <w:rPr>
                <w:sz w:val="20"/>
                <w:szCs w:val="20"/>
              </w:rPr>
              <w:t>E</w:t>
            </w:r>
            <w:r w:rsidR="00221C69" w:rsidRPr="00F93B56">
              <w:rPr>
                <w:sz w:val="20"/>
                <w:szCs w:val="20"/>
              </w:rPr>
              <w:t>mploi</w:t>
            </w:r>
          </w:p>
          <w:p w:rsidR="00F02686" w:rsidRPr="00E021A4" w:rsidRDefault="00221C69" w:rsidP="00E021A4">
            <w:pPr>
              <w:jc w:val="both"/>
              <w:rPr>
                <w:rFonts w:cstheme="minorHAnsi"/>
                <w:sz w:val="20"/>
              </w:rPr>
            </w:pPr>
            <w:r w:rsidRPr="00221C69">
              <w:rPr>
                <w:rFonts w:cstheme="minorHAnsi"/>
                <w:sz w:val="20"/>
              </w:rPr>
              <w:t xml:space="preserve">Des </w:t>
            </w:r>
            <w:r w:rsidR="00E021A4">
              <w:rPr>
                <w:rFonts w:cstheme="minorHAnsi"/>
                <w:sz w:val="20"/>
              </w:rPr>
              <w:t>études sur ce thème</w:t>
            </w:r>
            <w:r w:rsidRPr="00221C69">
              <w:rPr>
                <w:rFonts w:cstheme="minorHAnsi"/>
                <w:sz w:val="20"/>
              </w:rPr>
              <w:t xml:space="preserve"> ont déjà </w:t>
            </w:r>
            <w:r>
              <w:rPr>
                <w:rFonts w:cstheme="minorHAnsi"/>
                <w:sz w:val="20"/>
              </w:rPr>
              <w:t>eu lieu</w:t>
            </w:r>
            <w:r w:rsidRPr="00221C69">
              <w:rPr>
                <w:rFonts w:cstheme="minorHAnsi"/>
                <w:sz w:val="20"/>
              </w:rPr>
              <w:t xml:space="preserve"> sur le secteur Auvergne depuis quelques années </w:t>
            </w:r>
            <w:r w:rsidR="00E021A4">
              <w:rPr>
                <w:rFonts w:cstheme="minorHAnsi"/>
                <w:sz w:val="20"/>
              </w:rPr>
              <w:t>d’une part, dans les services à compétence professionnelle</w:t>
            </w:r>
            <w:r w:rsidRPr="00221C69">
              <w:rPr>
                <w:rFonts w:cstheme="minorHAnsi"/>
                <w:sz w:val="20"/>
              </w:rPr>
              <w:t xml:space="preserve"> </w:t>
            </w:r>
            <w:r w:rsidR="00E021A4">
              <w:rPr>
                <w:rFonts w:cstheme="minorHAnsi"/>
                <w:sz w:val="20"/>
              </w:rPr>
              <w:t xml:space="preserve">spécifique BTP, et </w:t>
            </w:r>
            <w:r w:rsidRPr="00221C69">
              <w:rPr>
                <w:rFonts w:cstheme="minorHAnsi"/>
                <w:sz w:val="20"/>
              </w:rPr>
              <w:t>le sec</w:t>
            </w:r>
            <w:r w:rsidR="00E021A4">
              <w:rPr>
                <w:rFonts w:cstheme="minorHAnsi"/>
                <w:sz w:val="20"/>
              </w:rPr>
              <w:t>teur Rhône-Alpin ponctuellement.</w:t>
            </w:r>
          </w:p>
        </w:tc>
      </w:tr>
    </w:tbl>
    <w:p w:rsidR="00117578" w:rsidRPr="009A27F1" w:rsidRDefault="00117578" w:rsidP="00FA5523">
      <w:pPr>
        <w:spacing w:after="0" w:line="240" w:lineRule="auto"/>
        <w:jc w:val="both"/>
        <w:rPr>
          <w:sz w:val="18"/>
        </w:rPr>
      </w:pPr>
    </w:p>
    <w:tbl>
      <w:tblPr>
        <w:tblStyle w:val="Grilledutableau"/>
        <w:tblW w:w="10740" w:type="dxa"/>
        <w:tblLook w:val="04A0" w:firstRow="1" w:lastRow="0" w:firstColumn="1" w:lastColumn="0" w:noHBand="0" w:noVBand="1"/>
      </w:tblPr>
      <w:tblGrid>
        <w:gridCol w:w="1809"/>
        <w:gridCol w:w="8931"/>
      </w:tblGrid>
      <w:tr w:rsidR="00117578" w:rsidTr="00624888">
        <w:tc>
          <w:tcPr>
            <w:tcW w:w="10740" w:type="dxa"/>
            <w:gridSpan w:val="2"/>
            <w:shd w:val="clear" w:color="auto" w:fill="DBE5F1" w:themeFill="accent1" w:themeFillTint="33"/>
          </w:tcPr>
          <w:p w:rsidR="00117578" w:rsidRPr="00C96EEF" w:rsidRDefault="00117578" w:rsidP="00C96EEF">
            <w:pPr>
              <w:jc w:val="center"/>
              <w:rPr>
                <w:b/>
              </w:rPr>
            </w:pPr>
            <w:r w:rsidRPr="00FC6A8F">
              <w:rPr>
                <w:b/>
              </w:rPr>
              <w:t>Objectifs</w:t>
            </w:r>
          </w:p>
        </w:tc>
      </w:tr>
      <w:tr w:rsidR="00117578" w:rsidTr="00624888">
        <w:tc>
          <w:tcPr>
            <w:tcW w:w="1809" w:type="dxa"/>
            <w:shd w:val="clear" w:color="auto" w:fill="DBE5F1" w:themeFill="accent1" w:themeFillTint="33"/>
          </w:tcPr>
          <w:p w:rsidR="008A2646" w:rsidRPr="005E36E8" w:rsidRDefault="00C96EEF" w:rsidP="005E36E8">
            <w:pPr>
              <w:jc w:val="both"/>
              <w:rPr>
                <w:b/>
                <w:sz w:val="20"/>
              </w:rPr>
            </w:pPr>
            <w:r w:rsidRPr="0026351F">
              <w:rPr>
                <w:b/>
                <w:sz w:val="20"/>
              </w:rPr>
              <w:t>Objectif général</w:t>
            </w:r>
          </w:p>
        </w:tc>
        <w:tc>
          <w:tcPr>
            <w:tcW w:w="8931" w:type="dxa"/>
          </w:tcPr>
          <w:p w:rsidR="00C96EEF" w:rsidRPr="002E2000" w:rsidRDefault="000C30F6" w:rsidP="00C96EEF">
            <w:pPr>
              <w:jc w:val="both"/>
              <w:rPr>
                <w:sz w:val="20"/>
              </w:rPr>
            </w:pPr>
            <w:r w:rsidRPr="002E2000">
              <w:rPr>
                <w:sz w:val="20"/>
              </w:rPr>
              <w:t>Quantifier et caractériser les situations d’inaptitude au poste de travail</w:t>
            </w:r>
            <w:r w:rsidR="00221C69" w:rsidRPr="002E2000">
              <w:rPr>
                <w:sz w:val="20"/>
              </w:rPr>
              <w:t xml:space="preserve"> sur l’ensemble de la région Auvergne-Rhône-Alpes</w:t>
            </w:r>
          </w:p>
        </w:tc>
      </w:tr>
      <w:tr w:rsidR="008A2646" w:rsidTr="00624888">
        <w:trPr>
          <w:trHeight w:val="325"/>
        </w:trPr>
        <w:tc>
          <w:tcPr>
            <w:tcW w:w="1809" w:type="dxa"/>
            <w:vMerge w:val="restart"/>
            <w:shd w:val="clear" w:color="auto" w:fill="DBE5F1" w:themeFill="accent1" w:themeFillTint="33"/>
          </w:tcPr>
          <w:p w:rsidR="008A2646" w:rsidRPr="0026351F" w:rsidRDefault="008A2646" w:rsidP="00CB524C">
            <w:pPr>
              <w:jc w:val="both"/>
              <w:rPr>
                <w:b/>
                <w:sz w:val="20"/>
              </w:rPr>
            </w:pPr>
          </w:p>
          <w:p w:rsidR="008A2646" w:rsidRPr="0026351F" w:rsidRDefault="008A2646" w:rsidP="00CB524C">
            <w:pPr>
              <w:jc w:val="both"/>
              <w:rPr>
                <w:b/>
                <w:sz w:val="20"/>
              </w:rPr>
            </w:pPr>
            <w:r w:rsidRPr="0026351F">
              <w:rPr>
                <w:b/>
                <w:sz w:val="20"/>
              </w:rPr>
              <w:t>Objectifs spécifiques</w:t>
            </w:r>
          </w:p>
        </w:tc>
        <w:tc>
          <w:tcPr>
            <w:tcW w:w="8931" w:type="dxa"/>
          </w:tcPr>
          <w:p w:rsidR="008A2646" w:rsidRPr="002E2000" w:rsidRDefault="00624888" w:rsidP="00221C69">
            <w:pPr>
              <w:jc w:val="both"/>
              <w:rPr>
                <w:sz w:val="20"/>
              </w:rPr>
            </w:pPr>
            <w:r w:rsidRPr="002E2000">
              <w:rPr>
                <w:sz w:val="20"/>
              </w:rPr>
              <w:t xml:space="preserve">I </w:t>
            </w:r>
            <w:r w:rsidR="00221C69" w:rsidRPr="002E2000">
              <w:rPr>
                <w:sz w:val="20"/>
              </w:rPr>
              <w:t xml:space="preserve">Harmoniser les </w:t>
            </w:r>
            <w:r w:rsidR="002E2000">
              <w:rPr>
                <w:sz w:val="20"/>
              </w:rPr>
              <w:t xml:space="preserve">différents </w:t>
            </w:r>
            <w:r w:rsidR="00221C69" w:rsidRPr="002E2000">
              <w:rPr>
                <w:sz w:val="20"/>
              </w:rPr>
              <w:t>questionnaires</w:t>
            </w:r>
            <w:r w:rsidR="002E2000">
              <w:rPr>
                <w:sz w:val="20"/>
              </w:rPr>
              <w:t xml:space="preserve"> sur l’inaptitude utilisés par les SST</w:t>
            </w:r>
            <w:r w:rsidR="00221C69" w:rsidRPr="002E2000">
              <w:rPr>
                <w:sz w:val="20"/>
              </w:rPr>
              <w:t xml:space="preserve"> </w:t>
            </w:r>
            <w:r w:rsidR="002E2000">
              <w:rPr>
                <w:sz w:val="20"/>
              </w:rPr>
              <w:t>(auvergnat, rhôn</w:t>
            </w:r>
            <w:r w:rsidR="00221C69" w:rsidRPr="002E2000">
              <w:rPr>
                <w:sz w:val="20"/>
              </w:rPr>
              <w:t>alpi</w:t>
            </w:r>
            <w:r w:rsidR="002E2000">
              <w:rPr>
                <w:sz w:val="20"/>
              </w:rPr>
              <w:t>n, BTP)</w:t>
            </w:r>
          </w:p>
        </w:tc>
      </w:tr>
      <w:tr w:rsidR="008A2646" w:rsidTr="00624888">
        <w:trPr>
          <w:trHeight w:val="325"/>
        </w:trPr>
        <w:tc>
          <w:tcPr>
            <w:tcW w:w="1809" w:type="dxa"/>
            <w:vMerge/>
            <w:shd w:val="clear" w:color="auto" w:fill="DBE5F1" w:themeFill="accent1" w:themeFillTint="33"/>
          </w:tcPr>
          <w:p w:rsidR="008A2646" w:rsidRDefault="008A2646" w:rsidP="00CB524C">
            <w:pPr>
              <w:jc w:val="both"/>
              <w:rPr>
                <w:b/>
              </w:rPr>
            </w:pPr>
          </w:p>
        </w:tc>
        <w:tc>
          <w:tcPr>
            <w:tcW w:w="8931" w:type="dxa"/>
          </w:tcPr>
          <w:p w:rsidR="008A2646" w:rsidRPr="002E2000" w:rsidRDefault="00624888" w:rsidP="000F019F">
            <w:pPr>
              <w:jc w:val="both"/>
              <w:rPr>
                <w:sz w:val="20"/>
              </w:rPr>
            </w:pPr>
            <w:r w:rsidRPr="002E2000">
              <w:rPr>
                <w:sz w:val="20"/>
              </w:rPr>
              <w:t>II</w:t>
            </w:r>
            <w:r w:rsidR="00AB7182" w:rsidRPr="002E2000">
              <w:rPr>
                <w:sz w:val="20"/>
              </w:rPr>
              <w:t xml:space="preserve"> </w:t>
            </w:r>
            <w:r w:rsidR="00221C69" w:rsidRPr="002E2000">
              <w:rPr>
                <w:sz w:val="20"/>
              </w:rPr>
              <w:t>Analyser les données sur le plan quantitatif et qualitatif</w:t>
            </w:r>
          </w:p>
        </w:tc>
      </w:tr>
      <w:tr w:rsidR="008A2646" w:rsidTr="00624888">
        <w:trPr>
          <w:trHeight w:val="325"/>
        </w:trPr>
        <w:tc>
          <w:tcPr>
            <w:tcW w:w="1809" w:type="dxa"/>
            <w:vMerge/>
            <w:shd w:val="clear" w:color="auto" w:fill="DBE5F1" w:themeFill="accent1" w:themeFillTint="33"/>
          </w:tcPr>
          <w:p w:rsidR="008A2646" w:rsidRDefault="008A2646" w:rsidP="00CB524C">
            <w:pPr>
              <w:jc w:val="both"/>
              <w:rPr>
                <w:b/>
              </w:rPr>
            </w:pPr>
          </w:p>
        </w:tc>
        <w:tc>
          <w:tcPr>
            <w:tcW w:w="8931" w:type="dxa"/>
          </w:tcPr>
          <w:p w:rsidR="008A2646" w:rsidRPr="002E2000" w:rsidRDefault="00624888" w:rsidP="000F019F">
            <w:pPr>
              <w:jc w:val="both"/>
              <w:rPr>
                <w:sz w:val="20"/>
              </w:rPr>
            </w:pPr>
            <w:r w:rsidRPr="002E2000">
              <w:rPr>
                <w:sz w:val="20"/>
              </w:rPr>
              <w:t>II</w:t>
            </w:r>
            <w:r w:rsidR="00AB7182" w:rsidRPr="002E2000">
              <w:rPr>
                <w:sz w:val="20"/>
              </w:rPr>
              <w:t xml:space="preserve">I </w:t>
            </w:r>
            <w:r w:rsidR="000F019F" w:rsidRPr="002E2000">
              <w:rPr>
                <w:sz w:val="20"/>
              </w:rPr>
              <w:t>Pérenniser l’</w:t>
            </w:r>
            <w:r w:rsidR="002E2000">
              <w:rPr>
                <w:sz w:val="20"/>
              </w:rPr>
              <w:t>observatoire des inaptitudes</w:t>
            </w:r>
          </w:p>
        </w:tc>
      </w:tr>
    </w:tbl>
    <w:p w:rsidR="005A0AA7" w:rsidRPr="009A27F1" w:rsidRDefault="005A0AA7" w:rsidP="00FA5523">
      <w:pPr>
        <w:spacing w:after="0" w:line="240" w:lineRule="auto"/>
        <w:jc w:val="both"/>
        <w:rPr>
          <w:sz w:val="16"/>
        </w:rPr>
      </w:pPr>
    </w:p>
    <w:tbl>
      <w:tblPr>
        <w:tblStyle w:val="Grilledutableau"/>
        <w:tblW w:w="0" w:type="auto"/>
        <w:tblLayout w:type="fixed"/>
        <w:tblLook w:val="04A0" w:firstRow="1" w:lastRow="0" w:firstColumn="1" w:lastColumn="0" w:noHBand="0" w:noVBand="1"/>
      </w:tblPr>
      <w:tblGrid>
        <w:gridCol w:w="2943"/>
        <w:gridCol w:w="2977"/>
        <w:gridCol w:w="2410"/>
        <w:gridCol w:w="2352"/>
      </w:tblGrid>
      <w:tr w:rsidR="00BB580E" w:rsidRPr="0026351F" w:rsidTr="002E2000">
        <w:tc>
          <w:tcPr>
            <w:tcW w:w="5920" w:type="dxa"/>
            <w:gridSpan w:val="2"/>
            <w:shd w:val="clear" w:color="auto" w:fill="FDE9D9" w:themeFill="accent6" w:themeFillTint="33"/>
          </w:tcPr>
          <w:p w:rsidR="00BB580E" w:rsidRPr="002E2000" w:rsidRDefault="00BB580E" w:rsidP="002E2000">
            <w:pPr>
              <w:jc w:val="center"/>
              <w:rPr>
                <w:b/>
                <w:sz w:val="20"/>
                <w:szCs w:val="20"/>
              </w:rPr>
            </w:pPr>
            <w:r w:rsidRPr="0026351F">
              <w:rPr>
                <w:sz w:val="20"/>
                <w:szCs w:val="20"/>
              </w:rPr>
              <w:br w:type="page"/>
            </w:r>
            <w:r w:rsidRPr="0026351F">
              <w:rPr>
                <w:b/>
                <w:sz w:val="20"/>
                <w:szCs w:val="20"/>
              </w:rPr>
              <w:t>Thématiques concernées</w:t>
            </w:r>
          </w:p>
        </w:tc>
        <w:tc>
          <w:tcPr>
            <w:tcW w:w="4762" w:type="dxa"/>
            <w:gridSpan w:val="2"/>
            <w:shd w:val="clear" w:color="auto" w:fill="FDE9D9" w:themeFill="accent6" w:themeFillTint="33"/>
          </w:tcPr>
          <w:p w:rsidR="00BB580E" w:rsidRPr="002E2000" w:rsidRDefault="00BB580E" w:rsidP="002E2000">
            <w:pPr>
              <w:jc w:val="center"/>
              <w:rPr>
                <w:b/>
                <w:sz w:val="20"/>
                <w:szCs w:val="20"/>
              </w:rPr>
            </w:pPr>
            <w:r w:rsidRPr="00A175A3">
              <w:rPr>
                <w:b/>
                <w:sz w:val="20"/>
                <w:szCs w:val="20"/>
              </w:rPr>
              <w:t>Type d’action ou de livrables</w:t>
            </w:r>
          </w:p>
        </w:tc>
      </w:tr>
      <w:tr w:rsidR="005A0AA7" w:rsidRPr="0026351F" w:rsidTr="002E2000">
        <w:tc>
          <w:tcPr>
            <w:tcW w:w="2943" w:type="dxa"/>
            <w:tcBorders>
              <w:bottom w:val="single" w:sz="4" w:space="0" w:color="auto"/>
            </w:tcBorders>
          </w:tcPr>
          <w:p w:rsidR="005A0AA7" w:rsidRPr="0026351F" w:rsidRDefault="001C59D5" w:rsidP="0026351F">
            <w:pPr>
              <w:tabs>
                <w:tab w:val="left" w:pos="425"/>
              </w:tabs>
              <w:spacing w:before="12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Evaluation des risques</w:t>
            </w:r>
          </w:p>
          <w:p w:rsidR="005A0AA7" w:rsidRPr="0026351F" w:rsidRDefault="001C59D5"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Formation/ information/ communication</w:t>
            </w:r>
          </w:p>
          <w:p w:rsidR="005A0AA7" w:rsidRPr="0026351F" w:rsidRDefault="001C59D5"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Usure professionnelle (TMS, équipements et lieux de travail)</w:t>
            </w:r>
          </w:p>
          <w:p w:rsidR="005A0AA7" w:rsidRPr="0026351F" w:rsidRDefault="001C59D5"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 xml:space="preserve">Chimique (dont amiante, CMR, </w:t>
            </w:r>
            <w:proofErr w:type="spellStart"/>
            <w:r w:rsidR="005A0AA7" w:rsidRPr="0026351F">
              <w:rPr>
                <w:rFonts w:ascii="Arial" w:hAnsi="Arial" w:cs="Arial"/>
                <w:sz w:val="18"/>
                <w:szCs w:val="20"/>
              </w:rPr>
              <w:t>polyexposition</w:t>
            </w:r>
            <w:proofErr w:type="spellEnd"/>
            <w:r w:rsidR="005A0AA7" w:rsidRPr="0026351F">
              <w:rPr>
                <w:rFonts w:ascii="Arial" w:hAnsi="Arial" w:cs="Arial"/>
                <w:sz w:val="18"/>
                <w:szCs w:val="20"/>
              </w:rPr>
              <w:t>, PE, nanomatériaux)</w:t>
            </w:r>
          </w:p>
          <w:p w:rsidR="005A0AA7" w:rsidRPr="0026351F" w:rsidRDefault="001C59D5"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 xml:space="preserve">  Offre de service TPE/PME</w:t>
            </w:r>
          </w:p>
          <w:p w:rsidR="005A0AA7" w:rsidRPr="0026351F" w:rsidRDefault="001C59D5" w:rsidP="0026351F">
            <w:pPr>
              <w:tabs>
                <w:tab w:val="left" w:pos="425"/>
              </w:tabs>
              <w:spacing w:before="60"/>
              <w:rPr>
                <w:b/>
                <w:sz w:val="18"/>
                <w:szCs w:val="20"/>
              </w:rPr>
            </w:pPr>
            <w:r>
              <w:rPr>
                <w:rFonts w:ascii="Arial" w:hAnsi="Arial" w:cs="Arial"/>
                <w:sz w:val="18"/>
                <w:szCs w:val="20"/>
              </w:rPr>
              <w:fldChar w:fldCharType="begin">
                <w:ffData>
                  <w:name w:val=""/>
                  <w:enabled/>
                  <w:calcOnExit w:val="0"/>
                  <w:checkBox>
                    <w:sizeAuto/>
                    <w:default w:val="1"/>
                  </w:checkBox>
                </w:ffData>
              </w:fldChar>
            </w:r>
            <w:r w:rsidR="000C30F6">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 xml:space="preserve">  Connaissances/données</w:t>
            </w:r>
          </w:p>
        </w:tc>
        <w:tc>
          <w:tcPr>
            <w:tcW w:w="2977" w:type="dxa"/>
            <w:tcBorders>
              <w:bottom w:val="single" w:sz="4" w:space="0" w:color="auto"/>
            </w:tcBorders>
          </w:tcPr>
          <w:p w:rsidR="005A0AA7" w:rsidRPr="0026351F" w:rsidRDefault="001C59D5"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Chutes de hauteur (et plain-pied)</w:t>
            </w:r>
          </w:p>
          <w:p w:rsidR="005A0AA7" w:rsidRPr="0026351F" w:rsidRDefault="001C59D5"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RPS</w:t>
            </w:r>
          </w:p>
          <w:p w:rsidR="005A0AA7" w:rsidRPr="0026351F" w:rsidRDefault="001C59D5"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Risque routier</w:t>
            </w:r>
          </w:p>
          <w:p w:rsidR="005A0AA7" w:rsidRPr="0026351F" w:rsidRDefault="001C59D5"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QVT</w:t>
            </w:r>
          </w:p>
          <w:p w:rsidR="005A0AA7" w:rsidRPr="0026351F" w:rsidRDefault="001C59D5"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AB7182">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Maintien en emploi</w:t>
            </w:r>
          </w:p>
          <w:p w:rsidR="005A0AA7" w:rsidRPr="0026351F" w:rsidRDefault="001C59D5"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0C30F6">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Santé travail/santé publique</w:t>
            </w:r>
          </w:p>
          <w:p w:rsidR="005A0AA7" w:rsidRPr="0026351F" w:rsidRDefault="001C59D5"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 xml:space="preserve">  Dialogue social</w:t>
            </w:r>
          </w:p>
          <w:p w:rsidR="005A0AA7" w:rsidRPr="0026351F" w:rsidRDefault="001C59D5" w:rsidP="000C30F6">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0C30F6" w:rsidRPr="0026351F">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2E2000">
              <w:rPr>
                <w:rFonts w:ascii="Arial" w:hAnsi="Arial" w:cs="Arial"/>
                <w:sz w:val="18"/>
                <w:szCs w:val="20"/>
              </w:rPr>
              <w:tab/>
              <w:t>Autres:</w:t>
            </w:r>
          </w:p>
        </w:tc>
        <w:tc>
          <w:tcPr>
            <w:tcW w:w="2410" w:type="dxa"/>
            <w:tcBorders>
              <w:bottom w:val="single" w:sz="4" w:space="0" w:color="auto"/>
            </w:tcBorders>
            <w:shd w:val="clear" w:color="auto" w:fill="FDE9D9" w:themeFill="accent6" w:themeFillTint="33"/>
          </w:tcPr>
          <w:p w:rsidR="005A0AA7" w:rsidRPr="0026351F" w:rsidRDefault="001C59D5" w:rsidP="0026351F">
            <w:pPr>
              <w:tabs>
                <w:tab w:val="left" w:pos="425"/>
              </w:tabs>
              <w:spacing w:before="12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823D09">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Action collective</w:t>
            </w:r>
          </w:p>
          <w:p w:rsidR="005A0AA7" w:rsidRPr="0026351F" w:rsidRDefault="001C59D5"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Colloque</w:t>
            </w:r>
          </w:p>
          <w:p w:rsidR="005A0AA7" w:rsidRPr="0026351F" w:rsidRDefault="001C59D5"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Formation</w:t>
            </w:r>
          </w:p>
          <w:p w:rsidR="005A0AA7" w:rsidRPr="0026351F" w:rsidRDefault="001C59D5"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sidR="000C30F6">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Elaboration de document</w:t>
            </w:r>
          </w:p>
          <w:p w:rsidR="005A0AA7" w:rsidRPr="0026351F" w:rsidRDefault="001C59D5"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sidR="000C30F6">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Méthodologie d’intervention</w:t>
            </w:r>
          </w:p>
          <w:p w:rsidR="005A0AA7" w:rsidRPr="0026351F" w:rsidRDefault="001C59D5"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823D09">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Autres</w:t>
            </w:r>
            <w:r w:rsidR="002E2000">
              <w:rPr>
                <w:rFonts w:ascii="Arial" w:hAnsi="Arial" w:cs="Arial"/>
                <w:sz w:val="18"/>
                <w:szCs w:val="20"/>
              </w:rPr>
              <w:t xml:space="preserve"> : </w:t>
            </w:r>
            <w:r w:rsidR="002E2000" w:rsidRPr="002E2000">
              <w:rPr>
                <w:rFonts w:cstheme="minorHAnsi"/>
                <w:sz w:val="18"/>
                <w:szCs w:val="20"/>
              </w:rPr>
              <w:t>é</w:t>
            </w:r>
            <w:r w:rsidR="000C30F6" w:rsidRPr="002E2000">
              <w:rPr>
                <w:rFonts w:cstheme="minorHAnsi"/>
                <w:sz w:val="18"/>
                <w:szCs w:val="20"/>
              </w:rPr>
              <w:t>tude épidémiologiqu</w:t>
            </w:r>
            <w:r w:rsidR="000C30F6">
              <w:rPr>
                <w:i/>
                <w:color w:val="7030A0"/>
                <w:sz w:val="18"/>
                <w:szCs w:val="20"/>
              </w:rPr>
              <w:t>e</w:t>
            </w:r>
            <w:r w:rsidR="002E2000">
              <w:rPr>
                <w:i/>
                <w:color w:val="7030A0"/>
                <w:sz w:val="18"/>
                <w:szCs w:val="20"/>
              </w:rPr>
              <w:t xml:space="preserve"> </w:t>
            </w:r>
          </w:p>
          <w:p w:rsidR="005A0AA7" w:rsidRPr="0026351F" w:rsidRDefault="005A0AA7" w:rsidP="0026351F">
            <w:pPr>
              <w:jc w:val="both"/>
              <w:rPr>
                <w:b/>
                <w:sz w:val="18"/>
                <w:szCs w:val="20"/>
              </w:rPr>
            </w:pPr>
          </w:p>
        </w:tc>
        <w:tc>
          <w:tcPr>
            <w:tcW w:w="2352" w:type="dxa"/>
            <w:tcBorders>
              <w:bottom w:val="single" w:sz="4" w:space="0" w:color="auto"/>
            </w:tcBorders>
            <w:shd w:val="clear" w:color="auto" w:fill="FDE9D9" w:themeFill="accent6" w:themeFillTint="33"/>
          </w:tcPr>
          <w:p w:rsidR="005A0AA7" w:rsidRPr="0026351F" w:rsidRDefault="001C59D5" w:rsidP="0026351F">
            <w:pPr>
              <w:tabs>
                <w:tab w:val="left" w:pos="425"/>
              </w:tabs>
              <w:spacing w:before="120"/>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sidR="000C30F6">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 xml:space="preserve">   Guide méthodologique</w:t>
            </w:r>
          </w:p>
          <w:p w:rsidR="005A0AA7" w:rsidRPr="0026351F" w:rsidRDefault="001C59D5"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0"/>
                  </w:checkBox>
                </w:ffData>
              </w:fldChar>
            </w:r>
            <w:r w:rsidR="000C30F6">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Document d’information</w:t>
            </w:r>
          </w:p>
          <w:p w:rsidR="005A0AA7" w:rsidRPr="0026351F" w:rsidRDefault="005A0AA7" w:rsidP="0026351F">
            <w:pPr>
              <w:tabs>
                <w:tab w:val="left" w:pos="425"/>
              </w:tabs>
              <w:spacing w:before="60"/>
              <w:rPr>
                <w:rFonts w:ascii="Arial" w:hAnsi="Arial" w:cs="Arial"/>
                <w:sz w:val="18"/>
                <w:szCs w:val="20"/>
              </w:rPr>
            </w:pPr>
            <w:r w:rsidRPr="0026351F">
              <w:rPr>
                <w:rFonts w:ascii="Arial" w:hAnsi="Arial" w:cs="Arial"/>
                <w:sz w:val="18"/>
                <w:szCs w:val="20"/>
              </w:rPr>
              <w:t>/sensibilisation</w:t>
            </w:r>
          </w:p>
          <w:p w:rsidR="005A0AA7" w:rsidRPr="0026351F" w:rsidRDefault="001C59D5"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Site internet</w:t>
            </w:r>
          </w:p>
          <w:p w:rsidR="005A0AA7" w:rsidRPr="0026351F" w:rsidRDefault="001C59D5" w:rsidP="0026351F">
            <w:pPr>
              <w:tabs>
                <w:tab w:val="left" w:pos="425"/>
              </w:tabs>
              <w:spacing w:before="60"/>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823D09">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Bases de données</w:t>
            </w:r>
          </w:p>
          <w:p w:rsidR="005A0AA7" w:rsidRPr="0026351F" w:rsidRDefault="001C59D5"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DVD</w:t>
            </w:r>
          </w:p>
          <w:p w:rsidR="005A0AA7" w:rsidRPr="0026351F" w:rsidRDefault="001C59D5" w:rsidP="000C30F6">
            <w:pPr>
              <w:tabs>
                <w:tab w:val="left" w:pos="425"/>
              </w:tabs>
              <w:spacing w:before="60"/>
              <w:rPr>
                <w:sz w:val="18"/>
                <w:szCs w:val="20"/>
              </w:rPr>
            </w:pPr>
            <w:r>
              <w:rPr>
                <w:rFonts w:ascii="Arial" w:hAnsi="Arial" w:cs="Arial"/>
                <w:sz w:val="18"/>
                <w:szCs w:val="20"/>
              </w:rPr>
              <w:fldChar w:fldCharType="begin">
                <w:ffData>
                  <w:name w:val=""/>
                  <w:enabled/>
                  <w:calcOnExit w:val="0"/>
                  <w:checkBox>
                    <w:sizeAuto/>
                    <w:default w:val="1"/>
                  </w:checkBox>
                </w:ffData>
              </w:fldChar>
            </w:r>
            <w:r w:rsidR="00AB7182">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Pr>
                <w:rFonts w:ascii="Arial" w:hAnsi="Arial" w:cs="Arial"/>
                <w:sz w:val="18"/>
                <w:szCs w:val="20"/>
              </w:rPr>
              <w:fldChar w:fldCharType="end"/>
            </w:r>
            <w:r w:rsidR="005A0AA7" w:rsidRPr="0026351F">
              <w:rPr>
                <w:rFonts w:ascii="Arial" w:hAnsi="Arial" w:cs="Arial"/>
                <w:sz w:val="18"/>
                <w:szCs w:val="20"/>
              </w:rPr>
              <w:tab/>
              <w:t xml:space="preserve">Autres : </w:t>
            </w:r>
            <w:r w:rsidR="005A0AA7" w:rsidRPr="00AB7182">
              <w:rPr>
                <w:rFonts w:ascii="Arial" w:hAnsi="Arial" w:cs="Arial"/>
                <w:sz w:val="18"/>
                <w:szCs w:val="20"/>
              </w:rPr>
              <w:t xml:space="preserve"> </w:t>
            </w:r>
          </w:p>
        </w:tc>
      </w:tr>
    </w:tbl>
    <w:p w:rsidR="00503514" w:rsidRDefault="00503514" w:rsidP="00FA5523">
      <w:pPr>
        <w:spacing w:after="0" w:line="240" w:lineRule="auto"/>
        <w:jc w:val="both"/>
        <w:rPr>
          <w:sz w:val="16"/>
        </w:rPr>
      </w:pPr>
    </w:p>
    <w:p w:rsidR="002E2000" w:rsidRPr="009A27F1" w:rsidRDefault="002E2000" w:rsidP="00FA5523">
      <w:pPr>
        <w:spacing w:after="0" w:line="240" w:lineRule="auto"/>
        <w:jc w:val="both"/>
        <w:rPr>
          <w:sz w:val="16"/>
        </w:rPr>
      </w:pPr>
    </w:p>
    <w:tbl>
      <w:tblPr>
        <w:tblStyle w:val="Grilledutableau"/>
        <w:tblW w:w="10740" w:type="dxa"/>
        <w:tblLook w:val="04A0" w:firstRow="1" w:lastRow="0" w:firstColumn="1" w:lastColumn="0" w:noHBand="0" w:noVBand="1"/>
      </w:tblPr>
      <w:tblGrid>
        <w:gridCol w:w="2400"/>
        <w:gridCol w:w="4034"/>
        <w:gridCol w:w="4306"/>
      </w:tblGrid>
      <w:tr w:rsidR="0057559A" w:rsidRPr="0026351F" w:rsidTr="009A27F1">
        <w:trPr>
          <w:trHeight w:val="180"/>
        </w:trPr>
        <w:tc>
          <w:tcPr>
            <w:tcW w:w="10740" w:type="dxa"/>
            <w:gridSpan w:val="3"/>
            <w:shd w:val="clear" w:color="auto" w:fill="DBE5F1" w:themeFill="accent1" w:themeFillTint="33"/>
          </w:tcPr>
          <w:p w:rsidR="0057559A" w:rsidRPr="0026351F" w:rsidRDefault="00BB580E" w:rsidP="0057559A">
            <w:pPr>
              <w:jc w:val="center"/>
              <w:rPr>
                <w:b/>
                <w:sz w:val="20"/>
                <w:szCs w:val="20"/>
              </w:rPr>
            </w:pPr>
            <w:r>
              <w:rPr>
                <w:b/>
                <w:sz w:val="20"/>
                <w:szCs w:val="20"/>
              </w:rPr>
              <w:lastRenderedPageBreak/>
              <w:t>Acteurs</w:t>
            </w:r>
          </w:p>
        </w:tc>
      </w:tr>
      <w:tr w:rsidR="00624888" w:rsidRPr="0026351F" w:rsidTr="009A27F1">
        <w:trPr>
          <w:trHeight w:val="180"/>
        </w:trPr>
        <w:tc>
          <w:tcPr>
            <w:tcW w:w="2400" w:type="dxa"/>
            <w:tcBorders>
              <w:bottom w:val="single" w:sz="4" w:space="0" w:color="auto"/>
            </w:tcBorders>
            <w:shd w:val="clear" w:color="auto" w:fill="DBE5F1" w:themeFill="accent1" w:themeFillTint="33"/>
          </w:tcPr>
          <w:p w:rsidR="00624888" w:rsidRPr="0026351F" w:rsidRDefault="00624888" w:rsidP="00FA5523">
            <w:pPr>
              <w:jc w:val="both"/>
              <w:rPr>
                <w:b/>
                <w:sz w:val="20"/>
                <w:szCs w:val="20"/>
              </w:rPr>
            </w:pPr>
            <w:r w:rsidRPr="0026351F">
              <w:rPr>
                <w:b/>
                <w:sz w:val="20"/>
                <w:szCs w:val="20"/>
              </w:rPr>
              <w:t>Pilote</w:t>
            </w:r>
          </w:p>
        </w:tc>
        <w:tc>
          <w:tcPr>
            <w:tcW w:w="4034" w:type="dxa"/>
          </w:tcPr>
          <w:p w:rsidR="00624888" w:rsidRPr="0026351F" w:rsidRDefault="001C59D5" w:rsidP="005E6F65">
            <w:pPr>
              <w:tabs>
                <w:tab w:val="left" w:pos="425"/>
              </w:tabs>
              <w:spacing w:before="60"/>
              <w:jc w:val="both"/>
              <w:rPr>
                <w:rFonts w:ascii="Arial" w:hAnsi="Arial" w:cs="Arial"/>
                <w:sz w:val="18"/>
                <w:szCs w:val="20"/>
                <w:lang w:val="en-US"/>
              </w:rPr>
            </w:pPr>
            <w:r>
              <w:rPr>
                <w:rFonts w:ascii="Arial" w:hAnsi="Arial" w:cs="Arial"/>
                <w:sz w:val="18"/>
                <w:szCs w:val="20"/>
              </w:rPr>
              <w:fldChar w:fldCharType="begin">
                <w:ffData>
                  <w:name w:val=""/>
                  <w:enabled/>
                  <w:calcOnExit w:val="0"/>
                  <w:checkBox>
                    <w:sizeAuto/>
                    <w:default w:val="1"/>
                  </w:checkBox>
                </w:ffData>
              </w:fldChar>
            </w:r>
            <w:r w:rsidR="000C30F6" w:rsidRPr="00E021A4">
              <w:rPr>
                <w:rFonts w:ascii="Arial" w:hAnsi="Arial" w:cs="Arial"/>
                <w:sz w:val="18"/>
                <w:szCs w:val="20"/>
                <w:lang w:val="en-US"/>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Pr>
                <w:rFonts w:ascii="Arial" w:hAnsi="Arial" w:cs="Arial"/>
                <w:sz w:val="18"/>
                <w:szCs w:val="20"/>
              </w:rPr>
              <w:fldChar w:fldCharType="end"/>
            </w:r>
            <w:r w:rsidR="00624888" w:rsidRPr="0026351F">
              <w:rPr>
                <w:rFonts w:ascii="Arial" w:hAnsi="Arial" w:cs="Arial"/>
                <w:sz w:val="18"/>
                <w:szCs w:val="20"/>
                <w:lang w:val="en-US"/>
              </w:rPr>
              <w:tab/>
              <w:t>DIRECCTE</w:t>
            </w:r>
          </w:p>
          <w:p w:rsidR="00624888" w:rsidRPr="0026351F" w:rsidRDefault="001C59D5"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ARS</w:t>
            </w:r>
          </w:p>
          <w:p w:rsidR="00624888" w:rsidRPr="0026351F" w:rsidRDefault="001C59D5"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CARSAT</w:t>
            </w:r>
          </w:p>
          <w:p w:rsidR="00624888" w:rsidRPr="0026351F" w:rsidRDefault="001C59D5"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OPPBTP</w:t>
            </w:r>
          </w:p>
          <w:p w:rsidR="00624888" w:rsidRPr="0026351F" w:rsidRDefault="001C59D5"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ARACT</w:t>
            </w:r>
          </w:p>
        </w:tc>
        <w:tc>
          <w:tcPr>
            <w:tcW w:w="4306" w:type="dxa"/>
          </w:tcPr>
          <w:p w:rsidR="00624888" w:rsidRPr="007D4752" w:rsidRDefault="001C59D5"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7D4752">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624888" w:rsidRPr="007D4752">
              <w:rPr>
                <w:rFonts w:ascii="Arial" w:hAnsi="Arial" w:cs="Arial"/>
                <w:sz w:val="18"/>
                <w:szCs w:val="20"/>
              </w:rPr>
              <w:tab/>
              <w:t>MSA</w:t>
            </w:r>
          </w:p>
          <w:p w:rsidR="00624888" w:rsidRPr="0026351F" w:rsidRDefault="001C59D5"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rPr>
              <w:tab/>
              <w:t>SIST (à préciser)……</w:t>
            </w:r>
            <w:r w:rsidR="002E2000" w:rsidRPr="0026351F">
              <w:rPr>
                <w:rFonts w:ascii="Arial" w:hAnsi="Arial" w:cs="Arial"/>
                <w:sz w:val="18"/>
                <w:szCs w:val="20"/>
              </w:rPr>
              <w:t xml:space="preserve"> </w:t>
            </w:r>
            <w:r w:rsidR="00624888" w:rsidRPr="0026351F">
              <w:rPr>
                <w:rFonts w:ascii="Arial" w:hAnsi="Arial" w:cs="Arial"/>
                <w:sz w:val="18"/>
                <w:szCs w:val="20"/>
              </w:rPr>
              <w:t>…</w:t>
            </w:r>
          </w:p>
          <w:p w:rsidR="00624888" w:rsidRPr="0026351F" w:rsidRDefault="001C59D5" w:rsidP="000C30F6">
            <w:pPr>
              <w:tabs>
                <w:tab w:val="left" w:pos="425"/>
              </w:tabs>
              <w:spacing w:before="60"/>
              <w:jc w:val="both"/>
              <w:rPr>
                <w:sz w:val="18"/>
                <w:szCs w:val="20"/>
              </w:rPr>
            </w:pPr>
            <w:r>
              <w:rPr>
                <w:rFonts w:ascii="Arial" w:hAnsi="Arial" w:cs="Arial"/>
                <w:sz w:val="18"/>
                <w:szCs w:val="20"/>
              </w:rPr>
              <w:fldChar w:fldCharType="begin">
                <w:ffData>
                  <w:name w:val=""/>
                  <w:enabled/>
                  <w:calcOnExit w:val="0"/>
                  <w:checkBox>
                    <w:sizeAuto/>
                    <w:default w:val="0"/>
                  </w:checkBox>
                </w:ffData>
              </w:fldChar>
            </w:r>
            <w:r w:rsidR="000C30F6">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Pr>
                <w:rFonts w:ascii="Arial" w:hAnsi="Arial" w:cs="Arial"/>
                <w:sz w:val="18"/>
                <w:szCs w:val="20"/>
              </w:rPr>
              <w:fldChar w:fldCharType="end"/>
            </w:r>
            <w:r w:rsidR="001C7A65">
              <w:rPr>
                <w:rFonts w:ascii="Arial" w:hAnsi="Arial" w:cs="Arial"/>
                <w:sz w:val="18"/>
                <w:szCs w:val="20"/>
              </w:rPr>
              <w:tab/>
              <w:t xml:space="preserve">autre : </w:t>
            </w:r>
          </w:p>
        </w:tc>
      </w:tr>
      <w:tr w:rsidR="00B5447E" w:rsidRPr="0026351F" w:rsidTr="009A27F1">
        <w:trPr>
          <w:trHeight w:val="180"/>
        </w:trPr>
        <w:tc>
          <w:tcPr>
            <w:tcW w:w="2400" w:type="dxa"/>
            <w:shd w:val="clear" w:color="auto" w:fill="DBE5F1" w:themeFill="accent1" w:themeFillTint="33"/>
          </w:tcPr>
          <w:p w:rsidR="00B5447E" w:rsidRPr="0026351F" w:rsidRDefault="00BB580E" w:rsidP="00FA5523">
            <w:pPr>
              <w:jc w:val="both"/>
              <w:rPr>
                <w:b/>
                <w:sz w:val="20"/>
                <w:szCs w:val="20"/>
              </w:rPr>
            </w:pPr>
            <w:r>
              <w:rPr>
                <w:b/>
                <w:sz w:val="20"/>
                <w:szCs w:val="20"/>
              </w:rPr>
              <w:t>Contributeurs</w:t>
            </w:r>
          </w:p>
        </w:tc>
        <w:tc>
          <w:tcPr>
            <w:tcW w:w="4034" w:type="dxa"/>
          </w:tcPr>
          <w:p w:rsidR="00B5447E" w:rsidRPr="0026351F" w:rsidRDefault="001C59D5" w:rsidP="005E6F65">
            <w:pPr>
              <w:tabs>
                <w:tab w:val="left" w:pos="425"/>
              </w:tabs>
              <w:spacing w:before="120"/>
              <w:jc w:val="both"/>
              <w:rPr>
                <w:rFonts w:ascii="Arial" w:hAnsi="Arial" w:cs="Arial"/>
                <w:sz w:val="18"/>
                <w:szCs w:val="20"/>
                <w:lang w:val="en-US"/>
              </w:rPr>
            </w:pPr>
            <w:r>
              <w:rPr>
                <w:rFonts w:ascii="Arial" w:hAnsi="Arial" w:cs="Arial"/>
                <w:sz w:val="18"/>
                <w:szCs w:val="20"/>
              </w:rPr>
              <w:fldChar w:fldCharType="begin">
                <w:ffData>
                  <w:name w:val="CaseACocher1"/>
                  <w:enabled/>
                  <w:calcOnExit w:val="0"/>
                  <w:checkBox>
                    <w:sizeAuto/>
                    <w:default w:val="1"/>
                  </w:checkBox>
                </w:ffData>
              </w:fldChar>
            </w:r>
            <w:bookmarkStart w:id="0" w:name="CaseACocher1"/>
            <w:r w:rsidR="00E9040D" w:rsidRPr="005E36E8">
              <w:rPr>
                <w:rFonts w:ascii="Arial" w:hAnsi="Arial" w:cs="Arial"/>
                <w:sz w:val="18"/>
                <w:szCs w:val="20"/>
                <w:lang w:val="en-GB"/>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Pr>
                <w:rFonts w:ascii="Arial" w:hAnsi="Arial" w:cs="Arial"/>
                <w:sz w:val="18"/>
                <w:szCs w:val="20"/>
              </w:rPr>
              <w:fldChar w:fldCharType="end"/>
            </w:r>
            <w:bookmarkEnd w:id="0"/>
            <w:r w:rsidR="00B5447E" w:rsidRPr="0026351F">
              <w:rPr>
                <w:rFonts w:ascii="Arial" w:hAnsi="Arial" w:cs="Arial"/>
                <w:sz w:val="18"/>
                <w:szCs w:val="20"/>
                <w:lang w:val="en-US"/>
              </w:rPr>
              <w:tab/>
              <w:t>DIRECCTE</w:t>
            </w:r>
          </w:p>
          <w:p w:rsidR="00B5447E" w:rsidRPr="0026351F" w:rsidRDefault="001C59D5"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lang w:val="en-US"/>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lang w:val="en-US"/>
              </w:rPr>
              <w:tab/>
              <w:t>OPPBTP</w:t>
            </w:r>
          </w:p>
          <w:p w:rsidR="00B5447E" w:rsidRPr="0026351F" w:rsidRDefault="001C59D5" w:rsidP="005E6F65">
            <w:pPr>
              <w:tabs>
                <w:tab w:val="left" w:pos="425"/>
              </w:tabs>
              <w:spacing w:before="60"/>
              <w:jc w:val="both"/>
              <w:rPr>
                <w:rFonts w:ascii="Arial" w:hAnsi="Arial" w:cs="Arial"/>
                <w:sz w:val="18"/>
                <w:szCs w:val="20"/>
                <w:lang w:val="en-US"/>
              </w:rPr>
            </w:pPr>
            <w:r>
              <w:rPr>
                <w:rFonts w:ascii="Arial" w:hAnsi="Arial" w:cs="Arial"/>
                <w:sz w:val="18"/>
                <w:szCs w:val="20"/>
              </w:rPr>
              <w:fldChar w:fldCharType="begin">
                <w:ffData>
                  <w:name w:val=""/>
                  <w:enabled/>
                  <w:calcOnExit w:val="0"/>
                  <w:checkBox>
                    <w:sizeAuto/>
                    <w:default w:val="0"/>
                  </w:checkBox>
                </w:ffData>
              </w:fldChar>
            </w:r>
            <w:r w:rsidR="000C30F6" w:rsidRPr="00E021A4">
              <w:rPr>
                <w:rFonts w:ascii="Arial" w:hAnsi="Arial" w:cs="Arial"/>
                <w:sz w:val="18"/>
                <w:szCs w:val="20"/>
                <w:lang w:val="en-US"/>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Pr>
                <w:rFonts w:ascii="Arial" w:hAnsi="Arial" w:cs="Arial"/>
                <w:sz w:val="18"/>
                <w:szCs w:val="20"/>
              </w:rPr>
              <w:fldChar w:fldCharType="end"/>
            </w:r>
            <w:r w:rsidR="00B5447E" w:rsidRPr="0026351F">
              <w:rPr>
                <w:rFonts w:ascii="Arial" w:hAnsi="Arial" w:cs="Arial"/>
                <w:sz w:val="18"/>
                <w:szCs w:val="20"/>
                <w:lang w:val="en-US"/>
              </w:rPr>
              <w:tab/>
              <w:t>ARS</w:t>
            </w:r>
          </w:p>
          <w:p w:rsidR="00B5447E" w:rsidRPr="0026351F" w:rsidRDefault="001C59D5" w:rsidP="005E6F65">
            <w:pPr>
              <w:tabs>
                <w:tab w:val="left" w:pos="425"/>
              </w:tabs>
              <w:spacing w:before="60"/>
              <w:jc w:val="both"/>
              <w:rPr>
                <w:rFonts w:ascii="Arial" w:hAnsi="Arial" w:cs="Arial"/>
                <w:sz w:val="18"/>
                <w:szCs w:val="20"/>
                <w:lang w:val="en-US"/>
              </w:rPr>
            </w:pPr>
            <w:r>
              <w:rPr>
                <w:rFonts w:ascii="Arial" w:hAnsi="Arial" w:cs="Arial"/>
                <w:sz w:val="18"/>
                <w:szCs w:val="20"/>
              </w:rPr>
              <w:fldChar w:fldCharType="begin">
                <w:ffData>
                  <w:name w:val=""/>
                  <w:enabled/>
                  <w:calcOnExit w:val="0"/>
                  <w:checkBox>
                    <w:sizeAuto/>
                    <w:default w:val="0"/>
                  </w:checkBox>
                </w:ffData>
              </w:fldChar>
            </w:r>
            <w:r w:rsidR="000C30F6" w:rsidRPr="00E021A4">
              <w:rPr>
                <w:rFonts w:ascii="Arial" w:hAnsi="Arial" w:cs="Arial"/>
                <w:sz w:val="18"/>
                <w:szCs w:val="20"/>
                <w:lang w:val="en-US"/>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Pr>
                <w:rFonts w:ascii="Arial" w:hAnsi="Arial" w:cs="Arial"/>
                <w:sz w:val="18"/>
                <w:szCs w:val="20"/>
              </w:rPr>
              <w:fldChar w:fldCharType="end"/>
            </w:r>
            <w:r w:rsidR="00B5447E" w:rsidRPr="0026351F">
              <w:rPr>
                <w:rFonts w:ascii="Arial" w:hAnsi="Arial" w:cs="Arial"/>
                <w:sz w:val="18"/>
                <w:szCs w:val="20"/>
                <w:lang w:val="en-US"/>
              </w:rPr>
              <w:tab/>
              <w:t>CARSA</w:t>
            </w:r>
            <w:r w:rsidR="00E9040D">
              <w:rPr>
                <w:rFonts w:ascii="Arial" w:hAnsi="Arial" w:cs="Arial"/>
                <w:sz w:val="18"/>
                <w:szCs w:val="20"/>
                <w:lang w:val="en-US"/>
              </w:rPr>
              <w:t>T</w:t>
            </w:r>
          </w:p>
          <w:p w:rsidR="00B5447E" w:rsidRPr="0026351F" w:rsidRDefault="001C59D5" w:rsidP="005E6F65">
            <w:pPr>
              <w:tabs>
                <w:tab w:val="left" w:pos="425"/>
              </w:tabs>
              <w:spacing w:before="60"/>
              <w:jc w:val="both"/>
              <w:rPr>
                <w:rFonts w:ascii="Arial" w:hAnsi="Arial" w:cs="Arial"/>
                <w:sz w:val="18"/>
                <w:szCs w:val="20"/>
                <w:lang w:val="en-US"/>
              </w:rPr>
            </w:pPr>
            <w:r>
              <w:rPr>
                <w:rFonts w:ascii="Arial" w:hAnsi="Arial" w:cs="Arial"/>
                <w:sz w:val="18"/>
                <w:szCs w:val="20"/>
              </w:rPr>
              <w:fldChar w:fldCharType="begin">
                <w:ffData>
                  <w:name w:val=""/>
                  <w:enabled/>
                  <w:calcOnExit w:val="0"/>
                  <w:checkBox>
                    <w:sizeAuto/>
                    <w:default w:val="0"/>
                  </w:checkBox>
                </w:ffData>
              </w:fldChar>
            </w:r>
            <w:r w:rsidR="00416F1E" w:rsidRPr="0006475E">
              <w:rPr>
                <w:rFonts w:ascii="Arial" w:hAnsi="Arial" w:cs="Arial"/>
                <w:sz w:val="18"/>
                <w:szCs w:val="20"/>
                <w:lang w:val="en-US"/>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Pr>
                <w:rFonts w:ascii="Arial" w:hAnsi="Arial" w:cs="Arial"/>
                <w:sz w:val="18"/>
                <w:szCs w:val="20"/>
              </w:rPr>
              <w:fldChar w:fldCharType="end"/>
            </w:r>
            <w:r w:rsidR="00B5447E" w:rsidRPr="0026351F">
              <w:rPr>
                <w:rFonts w:ascii="Arial" w:hAnsi="Arial" w:cs="Arial"/>
                <w:sz w:val="18"/>
                <w:szCs w:val="20"/>
                <w:lang w:val="en-US"/>
              </w:rPr>
              <w:tab/>
              <w:t>ARACT</w:t>
            </w:r>
          </w:p>
          <w:p w:rsidR="00B5447E" w:rsidRPr="0026351F" w:rsidRDefault="001C59D5"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lang w:val="en-US"/>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lang w:val="en-US"/>
              </w:rPr>
              <w:tab/>
              <w:t>DREAL</w:t>
            </w:r>
          </w:p>
          <w:p w:rsidR="00E9040D" w:rsidRDefault="001C59D5" w:rsidP="00E9040D">
            <w:pPr>
              <w:tabs>
                <w:tab w:val="left" w:pos="425"/>
              </w:tabs>
              <w:spacing w:before="60"/>
              <w:jc w:val="both"/>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416F1E">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Pr>
                <w:rFonts w:ascii="Arial" w:hAnsi="Arial" w:cs="Arial"/>
                <w:sz w:val="18"/>
                <w:szCs w:val="20"/>
              </w:rPr>
              <w:fldChar w:fldCharType="end"/>
            </w:r>
            <w:r w:rsidR="00B5447E" w:rsidRPr="0026351F">
              <w:rPr>
                <w:rFonts w:ascii="Arial" w:hAnsi="Arial" w:cs="Arial"/>
                <w:sz w:val="18"/>
                <w:szCs w:val="20"/>
              </w:rPr>
              <w:tab/>
              <w:t xml:space="preserve">SST </w:t>
            </w:r>
          </w:p>
          <w:p w:rsidR="00B5447E" w:rsidRPr="0026351F" w:rsidRDefault="001C59D5" w:rsidP="00E9040D">
            <w:pPr>
              <w:tabs>
                <w:tab w:val="left" w:pos="425"/>
              </w:tabs>
              <w:spacing w:before="60"/>
              <w:jc w:val="both"/>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0C30F6">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Pr>
                <w:rFonts w:ascii="Arial" w:hAnsi="Arial" w:cs="Arial"/>
                <w:sz w:val="18"/>
                <w:szCs w:val="20"/>
              </w:rPr>
              <w:fldChar w:fldCharType="end"/>
            </w:r>
            <w:r w:rsidR="00B5447E" w:rsidRPr="0026351F">
              <w:rPr>
                <w:rFonts w:ascii="Arial" w:hAnsi="Arial" w:cs="Arial"/>
                <w:sz w:val="18"/>
                <w:szCs w:val="20"/>
              </w:rPr>
              <w:tab/>
              <w:t>MSA</w:t>
            </w:r>
          </w:p>
        </w:tc>
        <w:tc>
          <w:tcPr>
            <w:tcW w:w="4306" w:type="dxa"/>
          </w:tcPr>
          <w:p w:rsidR="00B5447E" w:rsidRPr="0026351F" w:rsidRDefault="001C59D5"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FRSEA</w:t>
            </w:r>
          </w:p>
          <w:p w:rsidR="00B5447E" w:rsidRPr="0026351F" w:rsidRDefault="001C59D5"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RSI</w:t>
            </w:r>
          </w:p>
          <w:p w:rsidR="00B5447E" w:rsidRPr="0026351F" w:rsidRDefault="001C59D5"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DRAAF</w:t>
            </w:r>
          </w:p>
          <w:p w:rsidR="00B5447E" w:rsidRPr="0026351F" w:rsidRDefault="001C59D5"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DRIEE</w:t>
            </w:r>
          </w:p>
          <w:p w:rsidR="00B5447E" w:rsidRPr="0026351F" w:rsidRDefault="001C59D5"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Fédération professionnelle (préciser le nom)</w:t>
            </w:r>
          </w:p>
          <w:p w:rsidR="00B5447E" w:rsidRPr="0026351F" w:rsidRDefault="001C59D5"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Organisation syndicale de salariés (préciser le nom)</w:t>
            </w:r>
          </w:p>
          <w:p w:rsidR="00B5447E" w:rsidRPr="00E9040D" w:rsidRDefault="001C59D5" w:rsidP="000C30F6">
            <w:pPr>
              <w:tabs>
                <w:tab w:val="left" w:pos="425"/>
              </w:tabs>
              <w:spacing w:before="60"/>
              <w:jc w:val="both"/>
              <w:rPr>
                <w:rFonts w:ascii="Arial" w:hAnsi="Arial" w:cs="Arial"/>
                <w:sz w:val="18"/>
                <w:szCs w:val="20"/>
              </w:rPr>
            </w:pPr>
            <w:r>
              <w:rPr>
                <w:rFonts w:ascii="Arial" w:hAnsi="Arial" w:cs="Arial"/>
                <w:sz w:val="18"/>
                <w:szCs w:val="20"/>
              </w:rPr>
              <w:fldChar w:fldCharType="begin">
                <w:ffData>
                  <w:name w:val=""/>
                  <w:enabled/>
                  <w:calcOnExit w:val="0"/>
                  <w:checkBox>
                    <w:sizeAuto/>
                    <w:default w:val="1"/>
                  </w:checkBox>
                </w:ffData>
              </w:fldChar>
            </w:r>
            <w:r w:rsidR="00E9040D">
              <w:rPr>
                <w:rFonts w:ascii="Arial" w:hAnsi="Arial" w:cs="Arial"/>
                <w:sz w:val="18"/>
                <w:szCs w:val="20"/>
              </w:rPr>
              <w:instrText xml:space="preserve"> FORMCHECKBOX </w:instrText>
            </w:r>
            <w:r w:rsidR="00E521D9">
              <w:rPr>
                <w:rFonts w:ascii="Arial" w:hAnsi="Arial" w:cs="Arial"/>
                <w:sz w:val="18"/>
                <w:szCs w:val="20"/>
              </w:rPr>
            </w:r>
            <w:r w:rsidR="00E521D9">
              <w:rPr>
                <w:rFonts w:ascii="Arial" w:hAnsi="Arial" w:cs="Arial"/>
                <w:sz w:val="18"/>
                <w:szCs w:val="20"/>
              </w:rPr>
              <w:fldChar w:fldCharType="separate"/>
            </w:r>
            <w:r>
              <w:rPr>
                <w:rFonts w:ascii="Arial" w:hAnsi="Arial" w:cs="Arial"/>
                <w:sz w:val="18"/>
                <w:szCs w:val="20"/>
              </w:rPr>
              <w:fldChar w:fldCharType="end"/>
            </w:r>
            <w:r w:rsidR="00E9040D" w:rsidRPr="00E9040D">
              <w:rPr>
                <w:rFonts w:ascii="Arial" w:hAnsi="Arial" w:cs="Arial"/>
                <w:sz w:val="18"/>
                <w:szCs w:val="20"/>
              </w:rPr>
              <w:tab/>
              <w:t xml:space="preserve">Autres: </w:t>
            </w:r>
          </w:p>
        </w:tc>
      </w:tr>
    </w:tbl>
    <w:p w:rsidR="00953A91" w:rsidRPr="009A27F1" w:rsidRDefault="00953A91" w:rsidP="00953A91">
      <w:pPr>
        <w:spacing w:after="0" w:line="240" w:lineRule="auto"/>
        <w:jc w:val="both"/>
        <w:rPr>
          <w:sz w:val="16"/>
          <w:szCs w:val="10"/>
        </w:rPr>
      </w:pPr>
    </w:p>
    <w:tbl>
      <w:tblPr>
        <w:tblStyle w:val="Grilledutableau"/>
        <w:tblW w:w="0" w:type="auto"/>
        <w:tblLook w:val="04A0" w:firstRow="1" w:lastRow="0" w:firstColumn="1" w:lastColumn="0" w:noHBand="0" w:noVBand="1"/>
      </w:tblPr>
      <w:tblGrid>
        <w:gridCol w:w="2823"/>
        <w:gridCol w:w="2166"/>
        <w:gridCol w:w="2650"/>
        <w:gridCol w:w="1561"/>
        <w:gridCol w:w="1482"/>
      </w:tblGrid>
      <w:tr w:rsidR="00BB580E" w:rsidRPr="009A27F1" w:rsidTr="0061279D">
        <w:tc>
          <w:tcPr>
            <w:tcW w:w="10682" w:type="dxa"/>
            <w:gridSpan w:val="5"/>
            <w:tcBorders>
              <w:bottom w:val="single" w:sz="4" w:space="0" w:color="auto"/>
            </w:tcBorders>
            <w:shd w:val="clear" w:color="auto" w:fill="DBE5F1" w:themeFill="accent1" w:themeFillTint="33"/>
          </w:tcPr>
          <w:p w:rsidR="002E2000" w:rsidRDefault="00BB580E" w:rsidP="000C30F6">
            <w:pPr>
              <w:jc w:val="center"/>
              <w:rPr>
                <w:b/>
                <w:sz w:val="20"/>
                <w:szCs w:val="10"/>
              </w:rPr>
            </w:pPr>
            <w:r>
              <w:rPr>
                <w:b/>
                <w:sz w:val="20"/>
                <w:szCs w:val="10"/>
              </w:rPr>
              <w:t>Objectif spécifique I</w:t>
            </w:r>
          </w:p>
          <w:p w:rsidR="00BB580E" w:rsidRPr="009A27F1" w:rsidRDefault="002E2000" w:rsidP="000C30F6">
            <w:pPr>
              <w:jc w:val="center"/>
              <w:rPr>
                <w:b/>
                <w:sz w:val="20"/>
                <w:szCs w:val="10"/>
              </w:rPr>
            </w:pPr>
            <w:r w:rsidRPr="002E2000">
              <w:rPr>
                <w:sz w:val="20"/>
              </w:rPr>
              <w:t xml:space="preserve">Harmoniser les </w:t>
            </w:r>
            <w:r>
              <w:rPr>
                <w:sz w:val="20"/>
              </w:rPr>
              <w:t xml:space="preserve">différents </w:t>
            </w:r>
            <w:r w:rsidRPr="002E2000">
              <w:rPr>
                <w:sz w:val="20"/>
              </w:rPr>
              <w:t>questionnaires</w:t>
            </w:r>
            <w:r>
              <w:rPr>
                <w:sz w:val="20"/>
              </w:rPr>
              <w:t xml:space="preserve"> sur l’inaptitude utilisés par les SST</w:t>
            </w:r>
            <w:r w:rsidRPr="002E2000">
              <w:rPr>
                <w:sz w:val="20"/>
              </w:rPr>
              <w:t xml:space="preserve"> </w:t>
            </w:r>
            <w:r>
              <w:rPr>
                <w:sz w:val="20"/>
              </w:rPr>
              <w:t>(auvergnat, rhôn</w:t>
            </w:r>
            <w:r w:rsidRPr="002E2000">
              <w:rPr>
                <w:sz w:val="20"/>
              </w:rPr>
              <w:t>alpi</w:t>
            </w:r>
            <w:r>
              <w:rPr>
                <w:sz w:val="20"/>
              </w:rPr>
              <w:t>n, BTP)</w:t>
            </w:r>
          </w:p>
        </w:tc>
      </w:tr>
      <w:tr w:rsidR="00BB580E" w:rsidRPr="00EB104C" w:rsidTr="007648B4">
        <w:tc>
          <w:tcPr>
            <w:tcW w:w="10682" w:type="dxa"/>
            <w:gridSpan w:val="5"/>
            <w:shd w:val="clear" w:color="auto" w:fill="FDE9D9" w:themeFill="accent6" w:themeFillTint="33"/>
          </w:tcPr>
          <w:p w:rsidR="00BB580E" w:rsidRPr="002E2000" w:rsidRDefault="00BB580E" w:rsidP="002E2000">
            <w:pPr>
              <w:jc w:val="center"/>
              <w:rPr>
                <w:b/>
                <w:sz w:val="20"/>
                <w:szCs w:val="10"/>
              </w:rPr>
            </w:pPr>
            <w:r w:rsidRPr="00EB104C">
              <w:rPr>
                <w:b/>
                <w:sz w:val="20"/>
                <w:szCs w:val="10"/>
              </w:rPr>
              <w:t>Description des activités</w:t>
            </w:r>
          </w:p>
        </w:tc>
      </w:tr>
      <w:tr w:rsidR="00BB580E" w:rsidRPr="00CF383E" w:rsidTr="00BB580E">
        <w:tc>
          <w:tcPr>
            <w:tcW w:w="2823" w:type="dxa"/>
            <w:shd w:val="clear" w:color="auto" w:fill="FDE9D9" w:themeFill="accent6" w:themeFillTint="33"/>
          </w:tcPr>
          <w:p w:rsidR="00BB580E" w:rsidRPr="00CF383E" w:rsidRDefault="00BB580E" w:rsidP="00CF383E">
            <w:pPr>
              <w:jc w:val="center"/>
              <w:rPr>
                <w:b/>
                <w:sz w:val="20"/>
                <w:szCs w:val="10"/>
              </w:rPr>
            </w:pPr>
            <w:r>
              <w:rPr>
                <w:b/>
                <w:sz w:val="20"/>
                <w:szCs w:val="10"/>
              </w:rPr>
              <w:t>Actions</w:t>
            </w:r>
          </w:p>
        </w:tc>
        <w:tc>
          <w:tcPr>
            <w:tcW w:w="2166" w:type="dxa"/>
            <w:shd w:val="clear" w:color="auto" w:fill="FDE9D9" w:themeFill="accent6" w:themeFillTint="33"/>
          </w:tcPr>
          <w:p w:rsidR="00BB580E" w:rsidRPr="00CF383E" w:rsidRDefault="00BB580E" w:rsidP="00CF383E">
            <w:pPr>
              <w:jc w:val="center"/>
              <w:rPr>
                <w:b/>
                <w:sz w:val="20"/>
                <w:szCs w:val="10"/>
              </w:rPr>
            </w:pPr>
            <w:r>
              <w:rPr>
                <w:b/>
                <w:sz w:val="20"/>
                <w:szCs w:val="10"/>
              </w:rPr>
              <w:t>Cibles</w:t>
            </w:r>
          </w:p>
        </w:tc>
        <w:tc>
          <w:tcPr>
            <w:tcW w:w="2650" w:type="dxa"/>
            <w:shd w:val="clear" w:color="auto" w:fill="FDE9D9" w:themeFill="accent6" w:themeFillTint="33"/>
          </w:tcPr>
          <w:p w:rsidR="00BB580E" w:rsidRPr="00CF383E" w:rsidRDefault="00BB580E" w:rsidP="00CF383E">
            <w:pPr>
              <w:jc w:val="center"/>
              <w:rPr>
                <w:b/>
                <w:sz w:val="20"/>
                <w:szCs w:val="10"/>
              </w:rPr>
            </w:pPr>
            <w:r w:rsidRPr="00CF383E">
              <w:rPr>
                <w:b/>
                <w:sz w:val="20"/>
                <w:szCs w:val="10"/>
              </w:rPr>
              <w:t>Méthodologie</w:t>
            </w:r>
          </w:p>
        </w:tc>
        <w:tc>
          <w:tcPr>
            <w:tcW w:w="1561" w:type="dxa"/>
            <w:shd w:val="clear" w:color="auto" w:fill="FDE9D9" w:themeFill="accent6" w:themeFillTint="33"/>
          </w:tcPr>
          <w:p w:rsidR="00BB580E" w:rsidRPr="00CF383E" w:rsidRDefault="00BB580E" w:rsidP="00CF383E">
            <w:pPr>
              <w:jc w:val="center"/>
              <w:rPr>
                <w:b/>
                <w:sz w:val="20"/>
                <w:szCs w:val="10"/>
              </w:rPr>
            </w:pPr>
            <w:r w:rsidRPr="00CF383E">
              <w:rPr>
                <w:b/>
                <w:sz w:val="20"/>
                <w:szCs w:val="10"/>
              </w:rPr>
              <w:t>Responsable</w:t>
            </w:r>
          </w:p>
        </w:tc>
        <w:tc>
          <w:tcPr>
            <w:tcW w:w="1482" w:type="dxa"/>
            <w:shd w:val="clear" w:color="auto" w:fill="FDE9D9" w:themeFill="accent6" w:themeFillTint="33"/>
          </w:tcPr>
          <w:p w:rsidR="00BB580E" w:rsidRPr="00CF383E" w:rsidRDefault="00BB580E" w:rsidP="00CF383E">
            <w:pPr>
              <w:jc w:val="center"/>
              <w:rPr>
                <w:b/>
                <w:sz w:val="20"/>
                <w:szCs w:val="10"/>
              </w:rPr>
            </w:pPr>
            <w:r w:rsidRPr="00CF383E">
              <w:rPr>
                <w:b/>
                <w:sz w:val="20"/>
                <w:szCs w:val="10"/>
              </w:rPr>
              <w:t>Echéances</w:t>
            </w:r>
          </w:p>
        </w:tc>
      </w:tr>
      <w:tr w:rsidR="00BB580E" w:rsidRPr="009A27F1" w:rsidTr="00BB580E">
        <w:tc>
          <w:tcPr>
            <w:tcW w:w="2823" w:type="dxa"/>
            <w:tcBorders>
              <w:bottom w:val="single" w:sz="4" w:space="0" w:color="auto"/>
            </w:tcBorders>
          </w:tcPr>
          <w:p w:rsidR="00BB580E" w:rsidRPr="002E2000" w:rsidRDefault="00033481" w:rsidP="00953A91">
            <w:pPr>
              <w:jc w:val="both"/>
              <w:rPr>
                <w:b/>
                <w:sz w:val="20"/>
                <w:szCs w:val="10"/>
              </w:rPr>
            </w:pPr>
            <w:r>
              <w:rPr>
                <w:sz w:val="20"/>
                <w:szCs w:val="10"/>
              </w:rPr>
              <w:t xml:space="preserve">2.5.3.1 </w:t>
            </w:r>
            <w:r w:rsidR="002E2000" w:rsidRPr="002E2000">
              <w:rPr>
                <w:sz w:val="20"/>
                <w:szCs w:val="10"/>
              </w:rPr>
              <w:t>Elaboration d’un questionnaire Inaptitude commun à tous les SST d’Auvergne-Rhône-Alpes</w:t>
            </w:r>
          </w:p>
          <w:p w:rsidR="00BB580E" w:rsidRPr="002E2000" w:rsidRDefault="00BB580E" w:rsidP="00953A91">
            <w:pPr>
              <w:jc w:val="both"/>
              <w:rPr>
                <w:sz w:val="20"/>
                <w:szCs w:val="10"/>
              </w:rPr>
            </w:pPr>
          </w:p>
        </w:tc>
        <w:tc>
          <w:tcPr>
            <w:tcW w:w="2166" w:type="dxa"/>
          </w:tcPr>
          <w:p w:rsidR="00BB580E" w:rsidRPr="002E2000" w:rsidRDefault="002E2000" w:rsidP="00EB104C">
            <w:pPr>
              <w:jc w:val="both"/>
              <w:rPr>
                <w:sz w:val="20"/>
              </w:rPr>
            </w:pPr>
            <w:r>
              <w:rPr>
                <w:sz w:val="20"/>
              </w:rPr>
              <w:t>SST</w:t>
            </w:r>
          </w:p>
        </w:tc>
        <w:tc>
          <w:tcPr>
            <w:tcW w:w="2650" w:type="dxa"/>
          </w:tcPr>
          <w:p w:rsidR="002E2000" w:rsidRPr="002E2000" w:rsidRDefault="002E2000" w:rsidP="00EB104C">
            <w:pPr>
              <w:jc w:val="both"/>
              <w:rPr>
                <w:sz w:val="20"/>
              </w:rPr>
            </w:pPr>
            <w:r w:rsidRPr="002E2000">
              <w:rPr>
                <w:sz w:val="20"/>
              </w:rPr>
              <w:t>R</w:t>
            </w:r>
            <w:r w:rsidR="00BB580E" w:rsidRPr="002E2000">
              <w:rPr>
                <w:sz w:val="20"/>
              </w:rPr>
              <w:t xml:space="preserve">éunions de concertation entre les acteurs des 3 </w:t>
            </w:r>
            <w:r w:rsidRPr="002E2000">
              <w:rPr>
                <w:sz w:val="20"/>
              </w:rPr>
              <w:t>questionnaires : Auvergne, Rhône-Alpes, BTP</w:t>
            </w:r>
          </w:p>
          <w:p w:rsidR="002E2000" w:rsidRPr="002E2000" w:rsidRDefault="002E2000" w:rsidP="00EB104C">
            <w:pPr>
              <w:jc w:val="both"/>
              <w:rPr>
                <w:sz w:val="20"/>
              </w:rPr>
            </w:pPr>
            <w:r w:rsidRPr="002E2000">
              <w:rPr>
                <w:sz w:val="20"/>
              </w:rPr>
              <w:t>Analyser les items d</w:t>
            </w:r>
            <w:r w:rsidR="00033481">
              <w:rPr>
                <w:sz w:val="20"/>
              </w:rPr>
              <w:t>an</w:t>
            </w:r>
            <w:r w:rsidRPr="002E2000">
              <w:rPr>
                <w:sz w:val="20"/>
              </w:rPr>
              <w:t>s trois questionnaires</w:t>
            </w:r>
          </w:p>
          <w:p w:rsidR="00BB580E" w:rsidRPr="002E2000" w:rsidRDefault="002E2000" w:rsidP="00EB104C">
            <w:pPr>
              <w:jc w:val="both"/>
              <w:rPr>
                <w:b/>
                <w:sz w:val="20"/>
              </w:rPr>
            </w:pPr>
            <w:r w:rsidRPr="002E2000">
              <w:rPr>
                <w:sz w:val="20"/>
              </w:rPr>
              <w:t>Harmoniser</w:t>
            </w:r>
          </w:p>
          <w:p w:rsidR="00BB580E" w:rsidRPr="002E2000" w:rsidRDefault="00BB580E" w:rsidP="00550A98">
            <w:pPr>
              <w:jc w:val="both"/>
              <w:rPr>
                <w:sz w:val="20"/>
              </w:rPr>
            </w:pPr>
            <w:r w:rsidRPr="002E2000">
              <w:rPr>
                <w:sz w:val="20"/>
              </w:rPr>
              <w:t xml:space="preserve"> </w:t>
            </w:r>
          </w:p>
        </w:tc>
        <w:tc>
          <w:tcPr>
            <w:tcW w:w="1561" w:type="dxa"/>
          </w:tcPr>
          <w:p w:rsidR="00BB580E" w:rsidRPr="009A27F1" w:rsidRDefault="00BB580E" w:rsidP="00953A91">
            <w:pPr>
              <w:jc w:val="both"/>
              <w:rPr>
                <w:sz w:val="20"/>
                <w:szCs w:val="10"/>
              </w:rPr>
            </w:pPr>
            <w:r>
              <w:rPr>
                <w:rFonts w:ascii="Arial" w:hAnsi="Arial" w:cs="Arial"/>
                <w:sz w:val="18"/>
                <w:szCs w:val="20"/>
              </w:rPr>
              <w:t>DIRECCTE</w:t>
            </w:r>
          </w:p>
        </w:tc>
        <w:tc>
          <w:tcPr>
            <w:tcW w:w="1482" w:type="dxa"/>
          </w:tcPr>
          <w:p w:rsidR="00BB580E" w:rsidRPr="009A27F1" w:rsidRDefault="00BB580E" w:rsidP="00005A88">
            <w:pPr>
              <w:jc w:val="both"/>
              <w:rPr>
                <w:sz w:val="20"/>
                <w:szCs w:val="10"/>
              </w:rPr>
            </w:pPr>
            <w:r>
              <w:rPr>
                <w:sz w:val="20"/>
                <w:szCs w:val="10"/>
              </w:rPr>
              <w:t>2017</w:t>
            </w:r>
          </w:p>
        </w:tc>
      </w:tr>
      <w:tr w:rsidR="00BB580E" w:rsidRPr="009A27F1" w:rsidTr="00004784">
        <w:tc>
          <w:tcPr>
            <w:tcW w:w="2823" w:type="dxa"/>
            <w:shd w:val="clear" w:color="auto" w:fill="FDE9D9" w:themeFill="accent6" w:themeFillTint="33"/>
          </w:tcPr>
          <w:p w:rsidR="00BB580E" w:rsidRPr="009A27F1" w:rsidRDefault="00BB580E" w:rsidP="00953A91">
            <w:pPr>
              <w:jc w:val="both"/>
              <w:rPr>
                <w:sz w:val="20"/>
                <w:szCs w:val="10"/>
              </w:rPr>
            </w:pPr>
            <w:r>
              <w:rPr>
                <w:b/>
              </w:rPr>
              <w:t>Partenaires de l’action</w:t>
            </w:r>
          </w:p>
        </w:tc>
        <w:tc>
          <w:tcPr>
            <w:tcW w:w="7859" w:type="dxa"/>
            <w:gridSpan w:val="4"/>
          </w:tcPr>
          <w:p w:rsidR="00BB580E" w:rsidRPr="002E2000" w:rsidRDefault="002E2000" w:rsidP="00005A88">
            <w:pPr>
              <w:jc w:val="both"/>
              <w:rPr>
                <w:sz w:val="20"/>
                <w:szCs w:val="10"/>
              </w:rPr>
            </w:pPr>
            <w:r w:rsidRPr="002E2000">
              <w:rPr>
                <w:sz w:val="20"/>
                <w:szCs w:val="10"/>
              </w:rPr>
              <w:t>SST</w:t>
            </w:r>
          </w:p>
        </w:tc>
      </w:tr>
    </w:tbl>
    <w:p w:rsidR="007E660E" w:rsidRDefault="007E660E" w:rsidP="00953A91">
      <w:pPr>
        <w:spacing w:after="0" w:line="240" w:lineRule="auto"/>
        <w:jc w:val="both"/>
        <w:rPr>
          <w:sz w:val="16"/>
          <w:szCs w:val="10"/>
        </w:rPr>
      </w:pPr>
    </w:p>
    <w:p w:rsidR="00BB580E" w:rsidRDefault="00BB580E" w:rsidP="00953A91">
      <w:pPr>
        <w:spacing w:after="0" w:line="240" w:lineRule="auto"/>
        <w:jc w:val="both"/>
        <w:rPr>
          <w:sz w:val="16"/>
          <w:szCs w:val="10"/>
        </w:rPr>
      </w:pPr>
    </w:p>
    <w:tbl>
      <w:tblPr>
        <w:tblStyle w:val="Grilledutableau"/>
        <w:tblW w:w="10740" w:type="dxa"/>
        <w:tblLayout w:type="fixed"/>
        <w:tblLook w:val="04A0" w:firstRow="1" w:lastRow="0" w:firstColumn="1" w:lastColumn="0" w:noHBand="0" w:noVBand="1"/>
      </w:tblPr>
      <w:tblGrid>
        <w:gridCol w:w="817"/>
        <w:gridCol w:w="3402"/>
        <w:gridCol w:w="4111"/>
        <w:gridCol w:w="2410"/>
      </w:tblGrid>
      <w:tr w:rsidR="00BB580E" w:rsidRPr="00C800BB" w:rsidTr="008930D4">
        <w:tc>
          <w:tcPr>
            <w:tcW w:w="817" w:type="dxa"/>
            <w:vMerge w:val="restart"/>
            <w:shd w:val="clear" w:color="auto" w:fill="DBE5F1" w:themeFill="accent1" w:themeFillTint="33"/>
            <w:textDirection w:val="btLr"/>
          </w:tcPr>
          <w:p w:rsidR="00BB580E" w:rsidRPr="00C800BB" w:rsidRDefault="00BB580E" w:rsidP="00AD4055">
            <w:pPr>
              <w:ind w:left="113" w:right="113"/>
              <w:jc w:val="center"/>
            </w:pPr>
            <w:r>
              <w:rPr>
                <w:b/>
              </w:rPr>
              <w:t>Évaluation de l’action</w:t>
            </w:r>
          </w:p>
        </w:tc>
        <w:tc>
          <w:tcPr>
            <w:tcW w:w="3402" w:type="dxa"/>
            <w:shd w:val="clear" w:color="auto" w:fill="DBE5F1" w:themeFill="accent1" w:themeFillTint="33"/>
          </w:tcPr>
          <w:p w:rsidR="00BB580E" w:rsidRPr="0066041B" w:rsidRDefault="00BB580E" w:rsidP="00AD4055">
            <w:pPr>
              <w:jc w:val="center"/>
              <w:rPr>
                <w:b/>
              </w:rPr>
            </w:pPr>
            <w:r w:rsidRPr="0066041B">
              <w:rPr>
                <w:b/>
              </w:rPr>
              <w:t>Critères d’évaluation</w:t>
            </w:r>
          </w:p>
        </w:tc>
        <w:tc>
          <w:tcPr>
            <w:tcW w:w="4111" w:type="dxa"/>
            <w:shd w:val="clear" w:color="auto" w:fill="DBE5F1" w:themeFill="accent1" w:themeFillTint="33"/>
          </w:tcPr>
          <w:p w:rsidR="00BB580E" w:rsidRPr="0066041B" w:rsidRDefault="00BB580E" w:rsidP="00AD4055">
            <w:pPr>
              <w:jc w:val="center"/>
              <w:rPr>
                <w:b/>
                <w:i/>
              </w:rPr>
            </w:pPr>
            <w:r w:rsidRPr="0066041B">
              <w:rPr>
                <w:b/>
              </w:rPr>
              <w:t>Indicateurs</w:t>
            </w:r>
          </w:p>
        </w:tc>
        <w:tc>
          <w:tcPr>
            <w:tcW w:w="2410" w:type="dxa"/>
            <w:shd w:val="clear" w:color="auto" w:fill="DBE5F1" w:themeFill="accent1" w:themeFillTint="33"/>
          </w:tcPr>
          <w:p w:rsidR="00BB580E" w:rsidRPr="0066041B" w:rsidRDefault="00BB580E" w:rsidP="00AD4055">
            <w:pPr>
              <w:jc w:val="center"/>
              <w:rPr>
                <w:b/>
              </w:rPr>
            </w:pPr>
            <w:r w:rsidRPr="0066041B">
              <w:rPr>
                <w:b/>
              </w:rPr>
              <w:t>Source</w:t>
            </w:r>
          </w:p>
        </w:tc>
      </w:tr>
      <w:tr w:rsidR="00BB580E" w:rsidTr="008930D4">
        <w:trPr>
          <w:trHeight w:val="1077"/>
        </w:trPr>
        <w:tc>
          <w:tcPr>
            <w:tcW w:w="817" w:type="dxa"/>
            <w:vMerge/>
            <w:shd w:val="clear" w:color="auto" w:fill="DBE5F1" w:themeFill="accent1" w:themeFillTint="33"/>
          </w:tcPr>
          <w:p w:rsidR="00BB580E" w:rsidRPr="0031013E" w:rsidRDefault="00BB580E" w:rsidP="00AD4055">
            <w:pPr>
              <w:jc w:val="center"/>
              <w:rPr>
                <w:color w:val="8DB3E2" w:themeColor="text2" w:themeTint="66"/>
                <w:sz w:val="20"/>
              </w:rPr>
            </w:pPr>
          </w:p>
        </w:tc>
        <w:tc>
          <w:tcPr>
            <w:tcW w:w="3402" w:type="dxa"/>
          </w:tcPr>
          <w:p w:rsidR="00BB580E" w:rsidRPr="005E6421" w:rsidRDefault="002E2000" w:rsidP="00AD4055">
            <w:pPr>
              <w:jc w:val="both"/>
              <w:rPr>
                <w:sz w:val="20"/>
              </w:rPr>
            </w:pPr>
            <w:r>
              <w:rPr>
                <w:sz w:val="20"/>
              </w:rPr>
              <w:t>Questionnaire harmonisé</w:t>
            </w:r>
          </w:p>
        </w:tc>
        <w:tc>
          <w:tcPr>
            <w:tcW w:w="4111" w:type="dxa"/>
          </w:tcPr>
          <w:p w:rsidR="00BB580E" w:rsidRPr="005E6421" w:rsidRDefault="002E2000" w:rsidP="00AD4055">
            <w:pPr>
              <w:jc w:val="both"/>
              <w:rPr>
                <w:sz w:val="20"/>
              </w:rPr>
            </w:pPr>
            <w:r>
              <w:rPr>
                <w:sz w:val="20"/>
              </w:rPr>
              <w:t>Livrable</w:t>
            </w:r>
          </w:p>
        </w:tc>
        <w:tc>
          <w:tcPr>
            <w:tcW w:w="2410" w:type="dxa"/>
          </w:tcPr>
          <w:p w:rsidR="00BB580E" w:rsidRPr="005E6421" w:rsidRDefault="002E2000" w:rsidP="00AD4055">
            <w:pPr>
              <w:jc w:val="both"/>
              <w:rPr>
                <w:sz w:val="20"/>
              </w:rPr>
            </w:pPr>
            <w:r>
              <w:rPr>
                <w:sz w:val="20"/>
              </w:rPr>
              <w:t>Document produit</w:t>
            </w:r>
          </w:p>
        </w:tc>
      </w:tr>
    </w:tbl>
    <w:p w:rsidR="00BB580E" w:rsidRDefault="00BB580E" w:rsidP="00953A91">
      <w:pPr>
        <w:spacing w:after="0" w:line="240" w:lineRule="auto"/>
        <w:jc w:val="both"/>
        <w:rPr>
          <w:sz w:val="16"/>
          <w:szCs w:val="10"/>
        </w:rPr>
      </w:pPr>
    </w:p>
    <w:p w:rsidR="00BB580E" w:rsidRPr="009A27F1" w:rsidRDefault="00BB580E" w:rsidP="00953A91">
      <w:pPr>
        <w:spacing w:after="0" w:line="240" w:lineRule="auto"/>
        <w:jc w:val="both"/>
        <w:rPr>
          <w:sz w:val="16"/>
          <w:szCs w:val="10"/>
        </w:rPr>
      </w:pPr>
    </w:p>
    <w:tbl>
      <w:tblPr>
        <w:tblStyle w:val="Grilledutableau"/>
        <w:tblW w:w="0" w:type="auto"/>
        <w:tblLook w:val="04A0" w:firstRow="1" w:lastRow="0" w:firstColumn="1" w:lastColumn="0" w:noHBand="0" w:noVBand="1"/>
      </w:tblPr>
      <w:tblGrid>
        <w:gridCol w:w="2998"/>
        <w:gridCol w:w="2008"/>
        <w:gridCol w:w="2690"/>
        <w:gridCol w:w="1537"/>
        <w:gridCol w:w="1449"/>
      </w:tblGrid>
      <w:tr w:rsidR="00BB580E" w:rsidRPr="009A27F1" w:rsidTr="00B127EA">
        <w:tc>
          <w:tcPr>
            <w:tcW w:w="10682" w:type="dxa"/>
            <w:gridSpan w:val="5"/>
            <w:tcBorders>
              <w:bottom w:val="single" w:sz="4" w:space="0" w:color="auto"/>
            </w:tcBorders>
            <w:shd w:val="clear" w:color="auto" w:fill="DBE5F1" w:themeFill="accent1" w:themeFillTint="33"/>
          </w:tcPr>
          <w:p w:rsidR="002E2000" w:rsidRDefault="00BB580E" w:rsidP="0026351F">
            <w:pPr>
              <w:jc w:val="center"/>
              <w:rPr>
                <w:b/>
                <w:sz w:val="20"/>
                <w:szCs w:val="10"/>
              </w:rPr>
            </w:pPr>
            <w:r w:rsidRPr="009A27F1">
              <w:rPr>
                <w:b/>
                <w:sz w:val="20"/>
                <w:szCs w:val="10"/>
              </w:rPr>
              <w:t>Objectif spécifique I</w:t>
            </w:r>
            <w:r w:rsidR="002E2000">
              <w:rPr>
                <w:b/>
                <w:sz w:val="20"/>
                <w:szCs w:val="10"/>
              </w:rPr>
              <w:t>I</w:t>
            </w:r>
          </w:p>
          <w:p w:rsidR="00BB580E" w:rsidRPr="009A27F1" w:rsidRDefault="002E2000" w:rsidP="0026351F">
            <w:pPr>
              <w:jc w:val="center"/>
              <w:rPr>
                <w:b/>
                <w:sz w:val="20"/>
                <w:szCs w:val="10"/>
              </w:rPr>
            </w:pPr>
            <w:r w:rsidRPr="002E2000">
              <w:rPr>
                <w:sz w:val="20"/>
              </w:rPr>
              <w:t>Analyser les données sur le plan quantitatif et qualitatif</w:t>
            </w:r>
          </w:p>
        </w:tc>
      </w:tr>
      <w:tr w:rsidR="00BB580E" w:rsidRPr="00EB104C" w:rsidTr="00EC072C">
        <w:tc>
          <w:tcPr>
            <w:tcW w:w="10682" w:type="dxa"/>
            <w:gridSpan w:val="5"/>
            <w:shd w:val="clear" w:color="auto" w:fill="FDE9D9" w:themeFill="accent6" w:themeFillTint="33"/>
          </w:tcPr>
          <w:p w:rsidR="00BB580E" w:rsidRPr="007471FE" w:rsidRDefault="00BB580E" w:rsidP="007471FE">
            <w:pPr>
              <w:jc w:val="center"/>
              <w:rPr>
                <w:b/>
                <w:sz w:val="20"/>
                <w:szCs w:val="10"/>
              </w:rPr>
            </w:pPr>
            <w:r w:rsidRPr="00EB104C">
              <w:rPr>
                <w:b/>
                <w:sz w:val="20"/>
                <w:szCs w:val="10"/>
              </w:rPr>
              <w:t>Description des activités</w:t>
            </w:r>
          </w:p>
        </w:tc>
      </w:tr>
      <w:tr w:rsidR="00BB580E" w:rsidRPr="00CF383E" w:rsidTr="00BB580E">
        <w:tc>
          <w:tcPr>
            <w:tcW w:w="2998" w:type="dxa"/>
            <w:shd w:val="clear" w:color="auto" w:fill="FDE9D9" w:themeFill="accent6" w:themeFillTint="33"/>
          </w:tcPr>
          <w:p w:rsidR="00BB580E" w:rsidRPr="00CF383E" w:rsidRDefault="00BB580E" w:rsidP="0026351F">
            <w:pPr>
              <w:jc w:val="center"/>
              <w:rPr>
                <w:b/>
                <w:sz w:val="20"/>
                <w:szCs w:val="10"/>
              </w:rPr>
            </w:pPr>
            <w:r>
              <w:rPr>
                <w:b/>
                <w:sz w:val="20"/>
                <w:szCs w:val="10"/>
              </w:rPr>
              <w:t>Actions</w:t>
            </w:r>
          </w:p>
        </w:tc>
        <w:tc>
          <w:tcPr>
            <w:tcW w:w="2008" w:type="dxa"/>
            <w:shd w:val="clear" w:color="auto" w:fill="FDE9D9" w:themeFill="accent6" w:themeFillTint="33"/>
          </w:tcPr>
          <w:p w:rsidR="00BB580E" w:rsidRPr="00CF383E" w:rsidRDefault="00BB580E" w:rsidP="0026351F">
            <w:pPr>
              <w:jc w:val="center"/>
              <w:rPr>
                <w:b/>
                <w:sz w:val="20"/>
                <w:szCs w:val="10"/>
              </w:rPr>
            </w:pPr>
            <w:r>
              <w:rPr>
                <w:b/>
                <w:sz w:val="20"/>
                <w:szCs w:val="10"/>
              </w:rPr>
              <w:t>Cibles</w:t>
            </w:r>
          </w:p>
        </w:tc>
        <w:tc>
          <w:tcPr>
            <w:tcW w:w="2690" w:type="dxa"/>
            <w:shd w:val="clear" w:color="auto" w:fill="FDE9D9" w:themeFill="accent6" w:themeFillTint="33"/>
          </w:tcPr>
          <w:p w:rsidR="00BB580E" w:rsidRPr="00CF383E" w:rsidRDefault="00BB580E" w:rsidP="0026351F">
            <w:pPr>
              <w:jc w:val="center"/>
              <w:rPr>
                <w:b/>
                <w:sz w:val="20"/>
                <w:szCs w:val="10"/>
              </w:rPr>
            </w:pPr>
            <w:r w:rsidRPr="00CF383E">
              <w:rPr>
                <w:b/>
                <w:sz w:val="20"/>
                <w:szCs w:val="10"/>
              </w:rPr>
              <w:t>Méthodologie</w:t>
            </w:r>
          </w:p>
        </w:tc>
        <w:tc>
          <w:tcPr>
            <w:tcW w:w="1537" w:type="dxa"/>
            <w:shd w:val="clear" w:color="auto" w:fill="FDE9D9" w:themeFill="accent6" w:themeFillTint="33"/>
          </w:tcPr>
          <w:p w:rsidR="00BB580E" w:rsidRPr="00CF383E" w:rsidRDefault="00BB580E" w:rsidP="0026351F">
            <w:pPr>
              <w:jc w:val="center"/>
              <w:rPr>
                <w:b/>
                <w:sz w:val="20"/>
                <w:szCs w:val="10"/>
              </w:rPr>
            </w:pPr>
            <w:r w:rsidRPr="00CF383E">
              <w:rPr>
                <w:b/>
                <w:sz w:val="20"/>
                <w:szCs w:val="10"/>
              </w:rPr>
              <w:t>Responsable</w:t>
            </w:r>
          </w:p>
        </w:tc>
        <w:tc>
          <w:tcPr>
            <w:tcW w:w="1449" w:type="dxa"/>
            <w:shd w:val="clear" w:color="auto" w:fill="FDE9D9" w:themeFill="accent6" w:themeFillTint="33"/>
          </w:tcPr>
          <w:p w:rsidR="00BB580E" w:rsidRPr="00CF383E" w:rsidRDefault="00BB580E" w:rsidP="0026351F">
            <w:pPr>
              <w:jc w:val="center"/>
              <w:rPr>
                <w:b/>
                <w:sz w:val="20"/>
                <w:szCs w:val="10"/>
              </w:rPr>
            </w:pPr>
            <w:r w:rsidRPr="00CF383E">
              <w:rPr>
                <w:b/>
                <w:sz w:val="20"/>
                <w:szCs w:val="10"/>
              </w:rPr>
              <w:t>Echéances</w:t>
            </w:r>
          </w:p>
        </w:tc>
      </w:tr>
      <w:tr w:rsidR="007471FE" w:rsidRPr="009A27F1" w:rsidTr="007471FE">
        <w:trPr>
          <w:trHeight w:val="1221"/>
        </w:trPr>
        <w:tc>
          <w:tcPr>
            <w:tcW w:w="2998" w:type="dxa"/>
            <w:tcBorders>
              <w:bottom w:val="single" w:sz="4" w:space="0" w:color="auto"/>
            </w:tcBorders>
          </w:tcPr>
          <w:p w:rsidR="007471FE" w:rsidRPr="007471FE" w:rsidRDefault="00033481" w:rsidP="007471FE">
            <w:pPr>
              <w:jc w:val="both"/>
              <w:rPr>
                <w:sz w:val="20"/>
                <w:szCs w:val="10"/>
              </w:rPr>
            </w:pPr>
            <w:r>
              <w:rPr>
                <w:sz w:val="20"/>
                <w:szCs w:val="10"/>
              </w:rPr>
              <w:t xml:space="preserve">2.5.3.2 </w:t>
            </w:r>
            <w:r w:rsidR="007471FE" w:rsidRPr="007471FE">
              <w:rPr>
                <w:sz w:val="20"/>
                <w:szCs w:val="10"/>
              </w:rPr>
              <w:t>Recueil des données à partir du questionnaire harmonisé</w:t>
            </w:r>
          </w:p>
        </w:tc>
        <w:tc>
          <w:tcPr>
            <w:tcW w:w="2008" w:type="dxa"/>
          </w:tcPr>
          <w:p w:rsidR="007471FE" w:rsidRPr="007471FE" w:rsidRDefault="007471FE" w:rsidP="0026351F">
            <w:pPr>
              <w:jc w:val="both"/>
              <w:rPr>
                <w:sz w:val="20"/>
                <w:szCs w:val="10"/>
              </w:rPr>
            </w:pPr>
            <w:r w:rsidRPr="007471FE">
              <w:rPr>
                <w:sz w:val="20"/>
                <w:szCs w:val="10"/>
              </w:rPr>
              <w:t>SST</w:t>
            </w:r>
          </w:p>
        </w:tc>
        <w:tc>
          <w:tcPr>
            <w:tcW w:w="2690" w:type="dxa"/>
          </w:tcPr>
          <w:p w:rsidR="007471FE" w:rsidRPr="007471FE" w:rsidRDefault="007471FE" w:rsidP="0026351F">
            <w:pPr>
              <w:jc w:val="both"/>
              <w:rPr>
                <w:sz w:val="20"/>
                <w:szCs w:val="10"/>
              </w:rPr>
            </w:pPr>
            <w:r w:rsidRPr="007471FE">
              <w:rPr>
                <w:sz w:val="20"/>
                <w:szCs w:val="10"/>
                <w:shd w:val="clear" w:color="auto" w:fill="FFFFFF" w:themeFill="background1"/>
              </w:rPr>
              <w:t>Suivi et accompagnement des enquêteurs</w:t>
            </w:r>
            <w:r w:rsidRPr="007471FE">
              <w:rPr>
                <w:sz w:val="20"/>
                <w:szCs w:val="10"/>
              </w:rPr>
              <w:t xml:space="preserve"> les MIT</w:t>
            </w:r>
          </w:p>
        </w:tc>
        <w:tc>
          <w:tcPr>
            <w:tcW w:w="1537" w:type="dxa"/>
          </w:tcPr>
          <w:p w:rsidR="007471FE" w:rsidRDefault="007471FE" w:rsidP="0026351F">
            <w:pPr>
              <w:jc w:val="both"/>
              <w:rPr>
                <w:sz w:val="20"/>
                <w:szCs w:val="10"/>
              </w:rPr>
            </w:pPr>
            <w:r>
              <w:rPr>
                <w:sz w:val="20"/>
                <w:szCs w:val="10"/>
              </w:rPr>
              <w:t>DIRECCTE</w:t>
            </w:r>
          </w:p>
          <w:p w:rsidR="007471FE" w:rsidRDefault="007471FE" w:rsidP="0026351F">
            <w:pPr>
              <w:jc w:val="both"/>
              <w:rPr>
                <w:sz w:val="20"/>
                <w:szCs w:val="10"/>
              </w:rPr>
            </w:pPr>
          </w:p>
        </w:tc>
        <w:tc>
          <w:tcPr>
            <w:tcW w:w="1449" w:type="dxa"/>
          </w:tcPr>
          <w:p w:rsidR="007471FE" w:rsidRDefault="007471FE" w:rsidP="0026351F">
            <w:pPr>
              <w:jc w:val="both"/>
              <w:rPr>
                <w:sz w:val="20"/>
                <w:szCs w:val="10"/>
              </w:rPr>
            </w:pPr>
            <w:r>
              <w:rPr>
                <w:sz w:val="20"/>
                <w:szCs w:val="10"/>
              </w:rPr>
              <w:t>2017</w:t>
            </w:r>
          </w:p>
        </w:tc>
      </w:tr>
      <w:tr w:rsidR="007471FE" w:rsidRPr="009A27F1" w:rsidTr="00BB580E">
        <w:trPr>
          <w:trHeight w:val="1221"/>
        </w:trPr>
        <w:tc>
          <w:tcPr>
            <w:tcW w:w="2998" w:type="dxa"/>
            <w:tcBorders>
              <w:bottom w:val="single" w:sz="4" w:space="0" w:color="auto"/>
            </w:tcBorders>
          </w:tcPr>
          <w:p w:rsidR="007471FE" w:rsidRPr="007471FE" w:rsidRDefault="00033481" w:rsidP="007471FE">
            <w:pPr>
              <w:jc w:val="both"/>
              <w:rPr>
                <w:sz w:val="20"/>
                <w:szCs w:val="10"/>
              </w:rPr>
            </w:pPr>
            <w:r>
              <w:rPr>
                <w:sz w:val="20"/>
                <w:szCs w:val="10"/>
              </w:rPr>
              <w:t xml:space="preserve">2.5.3.3 </w:t>
            </w:r>
            <w:r w:rsidR="007471FE">
              <w:rPr>
                <w:sz w:val="20"/>
                <w:szCs w:val="10"/>
              </w:rPr>
              <w:t>Animation du groupe</w:t>
            </w:r>
            <w:r w:rsidR="007471FE" w:rsidRPr="007471FE">
              <w:rPr>
                <w:sz w:val="20"/>
                <w:szCs w:val="10"/>
              </w:rPr>
              <w:t xml:space="preserve"> </w:t>
            </w:r>
            <w:r w:rsidR="007471FE">
              <w:rPr>
                <w:sz w:val="20"/>
                <w:szCs w:val="10"/>
              </w:rPr>
              <w:t>d’</w:t>
            </w:r>
            <w:r w:rsidR="007471FE" w:rsidRPr="007471FE">
              <w:rPr>
                <w:sz w:val="20"/>
                <w:szCs w:val="10"/>
              </w:rPr>
              <w:t>enquêteurs dans la passation et la récupération des questionnaires</w:t>
            </w:r>
          </w:p>
        </w:tc>
        <w:tc>
          <w:tcPr>
            <w:tcW w:w="2008" w:type="dxa"/>
          </w:tcPr>
          <w:p w:rsidR="007471FE" w:rsidRPr="007471FE" w:rsidRDefault="007471FE" w:rsidP="007471FE">
            <w:pPr>
              <w:jc w:val="both"/>
              <w:rPr>
                <w:sz w:val="20"/>
                <w:szCs w:val="10"/>
              </w:rPr>
            </w:pPr>
            <w:r w:rsidRPr="007471FE">
              <w:rPr>
                <w:sz w:val="20"/>
                <w:szCs w:val="10"/>
              </w:rPr>
              <w:t>SST</w:t>
            </w:r>
          </w:p>
        </w:tc>
        <w:tc>
          <w:tcPr>
            <w:tcW w:w="2690" w:type="dxa"/>
          </w:tcPr>
          <w:p w:rsidR="007471FE" w:rsidRPr="007471FE" w:rsidRDefault="007471FE" w:rsidP="007471FE">
            <w:pPr>
              <w:jc w:val="both"/>
              <w:rPr>
                <w:sz w:val="20"/>
                <w:szCs w:val="10"/>
              </w:rPr>
            </w:pPr>
            <w:r w:rsidRPr="007471FE">
              <w:rPr>
                <w:sz w:val="20"/>
                <w:szCs w:val="10"/>
                <w:shd w:val="clear" w:color="auto" w:fill="FFFFFF" w:themeFill="background1"/>
              </w:rPr>
              <w:t>Suivi et accompagnement des enquêteurs</w:t>
            </w:r>
            <w:r w:rsidRPr="007471FE">
              <w:rPr>
                <w:sz w:val="20"/>
                <w:szCs w:val="10"/>
              </w:rPr>
              <w:t xml:space="preserve"> les MIT</w:t>
            </w:r>
          </w:p>
        </w:tc>
        <w:tc>
          <w:tcPr>
            <w:tcW w:w="1537" w:type="dxa"/>
          </w:tcPr>
          <w:p w:rsidR="007471FE" w:rsidRDefault="007471FE" w:rsidP="007471FE">
            <w:pPr>
              <w:jc w:val="both"/>
              <w:rPr>
                <w:sz w:val="20"/>
                <w:szCs w:val="10"/>
              </w:rPr>
            </w:pPr>
            <w:r>
              <w:rPr>
                <w:sz w:val="20"/>
                <w:szCs w:val="10"/>
              </w:rPr>
              <w:t>DIRECCTE</w:t>
            </w:r>
          </w:p>
          <w:p w:rsidR="007471FE" w:rsidRDefault="007471FE" w:rsidP="007471FE">
            <w:pPr>
              <w:jc w:val="both"/>
              <w:rPr>
                <w:sz w:val="20"/>
                <w:szCs w:val="10"/>
              </w:rPr>
            </w:pPr>
          </w:p>
        </w:tc>
        <w:tc>
          <w:tcPr>
            <w:tcW w:w="1449" w:type="dxa"/>
          </w:tcPr>
          <w:p w:rsidR="007471FE" w:rsidRDefault="007471FE" w:rsidP="007471FE">
            <w:pPr>
              <w:jc w:val="both"/>
              <w:rPr>
                <w:sz w:val="20"/>
                <w:szCs w:val="10"/>
              </w:rPr>
            </w:pPr>
            <w:r>
              <w:rPr>
                <w:sz w:val="20"/>
                <w:szCs w:val="10"/>
              </w:rPr>
              <w:t>2017</w:t>
            </w:r>
          </w:p>
        </w:tc>
      </w:tr>
      <w:tr w:rsidR="00BB580E" w:rsidRPr="009A27F1" w:rsidTr="00BB580E">
        <w:tc>
          <w:tcPr>
            <w:tcW w:w="2998" w:type="dxa"/>
            <w:tcBorders>
              <w:bottom w:val="single" w:sz="4" w:space="0" w:color="auto"/>
            </w:tcBorders>
          </w:tcPr>
          <w:p w:rsidR="00BB580E" w:rsidRPr="009A27F1" w:rsidRDefault="00033481" w:rsidP="00416F1E">
            <w:pPr>
              <w:jc w:val="both"/>
              <w:rPr>
                <w:sz w:val="20"/>
                <w:szCs w:val="10"/>
              </w:rPr>
            </w:pPr>
            <w:r>
              <w:rPr>
                <w:sz w:val="20"/>
                <w:szCs w:val="10"/>
              </w:rPr>
              <w:t xml:space="preserve">2.5.3.4 </w:t>
            </w:r>
            <w:r w:rsidR="007471FE">
              <w:rPr>
                <w:sz w:val="20"/>
                <w:szCs w:val="10"/>
              </w:rPr>
              <w:t>Analyse</w:t>
            </w:r>
            <w:r w:rsidR="00BB580E">
              <w:rPr>
                <w:sz w:val="20"/>
                <w:szCs w:val="10"/>
              </w:rPr>
              <w:t xml:space="preserve"> les données sur le plan statistique </w:t>
            </w:r>
            <w:r w:rsidR="00BB580E" w:rsidRPr="007471FE">
              <w:rPr>
                <w:sz w:val="20"/>
                <w:szCs w:val="10"/>
              </w:rPr>
              <w:t>et qualitatif</w:t>
            </w:r>
          </w:p>
        </w:tc>
        <w:tc>
          <w:tcPr>
            <w:tcW w:w="2008" w:type="dxa"/>
          </w:tcPr>
          <w:p w:rsidR="00BB580E" w:rsidRDefault="00BB580E" w:rsidP="0026351F">
            <w:pPr>
              <w:jc w:val="both"/>
              <w:rPr>
                <w:sz w:val="20"/>
                <w:szCs w:val="10"/>
              </w:rPr>
            </w:pPr>
          </w:p>
        </w:tc>
        <w:tc>
          <w:tcPr>
            <w:tcW w:w="2690" w:type="dxa"/>
          </w:tcPr>
          <w:p w:rsidR="00BB580E" w:rsidRPr="009A27F1" w:rsidRDefault="00BB580E" w:rsidP="0026351F">
            <w:pPr>
              <w:jc w:val="both"/>
              <w:rPr>
                <w:sz w:val="20"/>
                <w:szCs w:val="10"/>
              </w:rPr>
            </w:pPr>
            <w:r>
              <w:rPr>
                <w:sz w:val="20"/>
                <w:szCs w:val="10"/>
              </w:rPr>
              <w:t>Analyse statistique</w:t>
            </w:r>
            <w:r w:rsidR="007471FE">
              <w:rPr>
                <w:sz w:val="20"/>
                <w:szCs w:val="10"/>
              </w:rPr>
              <w:t xml:space="preserve"> et qualitative</w:t>
            </w:r>
            <w:r>
              <w:rPr>
                <w:sz w:val="20"/>
                <w:szCs w:val="10"/>
              </w:rPr>
              <w:t xml:space="preserve"> et rédaction d’un rapport d’analyse </w:t>
            </w:r>
          </w:p>
        </w:tc>
        <w:tc>
          <w:tcPr>
            <w:tcW w:w="1537" w:type="dxa"/>
          </w:tcPr>
          <w:p w:rsidR="00BB580E" w:rsidRPr="009A27F1" w:rsidRDefault="00BB580E" w:rsidP="0026351F">
            <w:pPr>
              <w:jc w:val="both"/>
              <w:rPr>
                <w:sz w:val="20"/>
                <w:szCs w:val="10"/>
              </w:rPr>
            </w:pPr>
            <w:r>
              <w:rPr>
                <w:sz w:val="20"/>
                <w:szCs w:val="10"/>
              </w:rPr>
              <w:t>DIRECCTE</w:t>
            </w:r>
          </w:p>
        </w:tc>
        <w:tc>
          <w:tcPr>
            <w:tcW w:w="1449" w:type="dxa"/>
          </w:tcPr>
          <w:p w:rsidR="00BB580E" w:rsidRPr="009A27F1" w:rsidRDefault="00BB580E" w:rsidP="0026351F">
            <w:pPr>
              <w:jc w:val="both"/>
              <w:rPr>
                <w:sz w:val="20"/>
                <w:szCs w:val="10"/>
              </w:rPr>
            </w:pPr>
            <w:r>
              <w:rPr>
                <w:sz w:val="20"/>
                <w:szCs w:val="10"/>
              </w:rPr>
              <w:t>1</w:t>
            </w:r>
            <w:r w:rsidRPr="00005A88">
              <w:rPr>
                <w:sz w:val="20"/>
                <w:szCs w:val="10"/>
                <w:vertAlign w:val="superscript"/>
              </w:rPr>
              <w:t>ier</w:t>
            </w:r>
            <w:r>
              <w:rPr>
                <w:sz w:val="20"/>
                <w:szCs w:val="10"/>
              </w:rPr>
              <w:t xml:space="preserve"> semestre de chaque année</w:t>
            </w:r>
          </w:p>
        </w:tc>
      </w:tr>
      <w:tr w:rsidR="007471FE" w:rsidRPr="009A27F1" w:rsidTr="00BB580E">
        <w:tc>
          <w:tcPr>
            <w:tcW w:w="2998" w:type="dxa"/>
            <w:tcBorders>
              <w:bottom w:val="single" w:sz="4" w:space="0" w:color="auto"/>
            </w:tcBorders>
          </w:tcPr>
          <w:p w:rsidR="007471FE" w:rsidRPr="007471FE" w:rsidRDefault="00033481" w:rsidP="007471FE">
            <w:pPr>
              <w:rPr>
                <w:b/>
                <w:sz w:val="20"/>
                <w:szCs w:val="10"/>
              </w:rPr>
            </w:pPr>
            <w:r>
              <w:rPr>
                <w:sz w:val="20"/>
                <w:szCs w:val="10"/>
              </w:rPr>
              <w:t xml:space="preserve">2.5.3.5 </w:t>
            </w:r>
            <w:r w:rsidR="007471FE" w:rsidRPr="007471FE">
              <w:rPr>
                <w:sz w:val="20"/>
                <w:szCs w:val="10"/>
              </w:rPr>
              <w:t>Diffusion des résultats lors de différentes manifestation : colloques, réunions professionnelles, etc</w:t>
            </w:r>
          </w:p>
        </w:tc>
        <w:tc>
          <w:tcPr>
            <w:tcW w:w="2008" w:type="dxa"/>
          </w:tcPr>
          <w:p w:rsidR="007471FE" w:rsidRDefault="007471FE" w:rsidP="007471FE">
            <w:pPr>
              <w:jc w:val="both"/>
              <w:rPr>
                <w:sz w:val="20"/>
                <w:szCs w:val="10"/>
              </w:rPr>
            </w:pPr>
            <w:r>
              <w:rPr>
                <w:sz w:val="20"/>
                <w:szCs w:val="10"/>
              </w:rPr>
              <w:t>Préventeurs</w:t>
            </w:r>
          </w:p>
          <w:p w:rsidR="007471FE" w:rsidRDefault="007471FE" w:rsidP="007471FE">
            <w:pPr>
              <w:jc w:val="both"/>
              <w:rPr>
                <w:sz w:val="20"/>
                <w:szCs w:val="10"/>
              </w:rPr>
            </w:pPr>
            <w:r>
              <w:rPr>
                <w:sz w:val="20"/>
                <w:szCs w:val="10"/>
              </w:rPr>
              <w:t>Acteurs du maintien dans l’emploi</w:t>
            </w:r>
          </w:p>
        </w:tc>
        <w:tc>
          <w:tcPr>
            <w:tcW w:w="2690" w:type="dxa"/>
          </w:tcPr>
          <w:p w:rsidR="007471FE" w:rsidRPr="00DB6735" w:rsidRDefault="007471FE" w:rsidP="007471FE">
            <w:pPr>
              <w:jc w:val="both"/>
              <w:rPr>
                <w:strike/>
                <w:sz w:val="20"/>
                <w:szCs w:val="10"/>
              </w:rPr>
            </w:pPr>
            <w:r>
              <w:rPr>
                <w:sz w:val="20"/>
                <w:szCs w:val="10"/>
              </w:rPr>
              <w:t xml:space="preserve">Diffusion du rapport </w:t>
            </w:r>
          </w:p>
          <w:p w:rsidR="007471FE" w:rsidRPr="00DB6735" w:rsidRDefault="007471FE" w:rsidP="007471FE">
            <w:pPr>
              <w:jc w:val="both"/>
              <w:rPr>
                <w:strike/>
                <w:sz w:val="20"/>
                <w:szCs w:val="10"/>
              </w:rPr>
            </w:pPr>
          </w:p>
        </w:tc>
        <w:tc>
          <w:tcPr>
            <w:tcW w:w="1537" w:type="dxa"/>
          </w:tcPr>
          <w:p w:rsidR="007471FE" w:rsidRPr="009A27F1" w:rsidRDefault="007471FE" w:rsidP="007471FE">
            <w:pPr>
              <w:jc w:val="both"/>
              <w:rPr>
                <w:sz w:val="20"/>
                <w:szCs w:val="10"/>
              </w:rPr>
            </w:pPr>
            <w:r>
              <w:rPr>
                <w:sz w:val="20"/>
                <w:szCs w:val="10"/>
              </w:rPr>
              <w:t>DIRECCTE</w:t>
            </w:r>
          </w:p>
        </w:tc>
        <w:tc>
          <w:tcPr>
            <w:tcW w:w="1449" w:type="dxa"/>
          </w:tcPr>
          <w:p w:rsidR="007471FE" w:rsidRDefault="007471FE" w:rsidP="007471FE">
            <w:pPr>
              <w:jc w:val="both"/>
              <w:rPr>
                <w:sz w:val="20"/>
                <w:szCs w:val="10"/>
              </w:rPr>
            </w:pPr>
            <w:r>
              <w:rPr>
                <w:sz w:val="20"/>
                <w:szCs w:val="10"/>
              </w:rPr>
              <w:t>Chaque année : fin T2, et T3 T4</w:t>
            </w:r>
          </w:p>
        </w:tc>
      </w:tr>
      <w:tr w:rsidR="007471FE" w:rsidRPr="009A27F1" w:rsidTr="00EC1182">
        <w:tc>
          <w:tcPr>
            <w:tcW w:w="2998" w:type="dxa"/>
            <w:shd w:val="clear" w:color="auto" w:fill="FDE9D9" w:themeFill="accent6" w:themeFillTint="33"/>
          </w:tcPr>
          <w:p w:rsidR="007471FE" w:rsidRPr="009A27F1" w:rsidRDefault="007471FE" w:rsidP="007471FE">
            <w:pPr>
              <w:jc w:val="both"/>
              <w:rPr>
                <w:sz w:val="20"/>
                <w:szCs w:val="10"/>
              </w:rPr>
            </w:pPr>
            <w:r>
              <w:rPr>
                <w:b/>
              </w:rPr>
              <w:t>Partenaires de l’action</w:t>
            </w:r>
          </w:p>
        </w:tc>
        <w:tc>
          <w:tcPr>
            <w:tcW w:w="7684" w:type="dxa"/>
            <w:gridSpan w:val="4"/>
          </w:tcPr>
          <w:p w:rsidR="007471FE" w:rsidRPr="007471FE" w:rsidRDefault="007471FE" w:rsidP="007471FE">
            <w:pPr>
              <w:jc w:val="both"/>
              <w:rPr>
                <w:sz w:val="20"/>
                <w:szCs w:val="10"/>
              </w:rPr>
            </w:pPr>
            <w:r>
              <w:rPr>
                <w:sz w:val="20"/>
                <w:szCs w:val="10"/>
              </w:rPr>
              <w:t>Carsat, MSA, SESE</w:t>
            </w:r>
          </w:p>
        </w:tc>
      </w:tr>
    </w:tbl>
    <w:p w:rsidR="0008579F" w:rsidRDefault="0008579F" w:rsidP="0008579F">
      <w:pPr>
        <w:spacing w:after="0" w:line="240" w:lineRule="auto"/>
        <w:jc w:val="both"/>
        <w:rPr>
          <w:sz w:val="16"/>
          <w:szCs w:val="10"/>
        </w:rPr>
      </w:pPr>
    </w:p>
    <w:p w:rsidR="00BB580E" w:rsidRDefault="00BB580E" w:rsidP="0008579F">
      <w:pPr>
        <w:spacing w:after="0" w:line="240" w:lineRule="auto"/>
        <w:jc w:val="both"/>
        <w:rPr>
          <w:sz w:val="16"/>
          <w:szCs w:val="10"/>
        </w:rPr>
      </w:pPr>
    </w:p>
    <w:tbl>
      <w:tblPr>
        <w:tblStyle w:val="Grilledutableau"/>
        <w:tblW w:w="10740" w:type="dxa"/>
        <w:tblLayout w:type="fixed"/>
        <w:tblLook w:val="04A0" w:firstRow="1" w:lastRow="0" w:firstColumn="1" w:lastColumn="0" w:noHBand="0" w:noVBand="1"/>
      </w:tblPr>
      <w:tblGrid>
        <w:gridCol w:w="534"/>
        <w:gridCol w:w="3685"/>
        <w:gridCol w:w="4111"/>
        <w:gridCol w:w="2410"/>
      </w:tblGrid>
      <w:tr w:rsidR="00BB580E" w:rsidRPr="00C800BB" w:rsidTr="00AD4055">
        <w:tc>
          <w:tcPr>
            <w:tcW w:w="534" w:type="dxa"/>
            <w:vMerge w:val="restart"/>
            <w:shd w:val="clear" w:color="auto" w:fill="DBE5F1" w:themeFill="accent1" w:themeFillTint="33"/>
            <w:textDirection w:val="btLr"/>
          </w:tcPr>
          <w:p w:rsidR="00BB580E" w:rsidRPr="00C800BB" w:rsidRDefault="00BB580E" w:rsidP="00AD4055">
            <w:pPr>
              <w:ind w:left="113" w:right="113"/>
              <w:jc w:val="center"/>
            </w:pPr>
            <w:r>
              <w:rPr>
                <w:b/>
              </w:rPr>
              <w:t>Évaluation de l’action</w:t>
            </w:r>
          </w:p>
        </w:tc>
        <w:tc>
          <w:tcPr>
            <w:tcW w:w="3685" w:type="dxa"/>
            <w:shd w:val="clear" w:color="auto" w:fill="DBE5F1" w:themeFill="accent1" w:themeFillTint="33"/>
          </w:tcPr>
          <w:p w:rsidR="00BB580E" w:rsidRPr="0066041B" w:rsidRDefault="00BB580E" w:rsidP="00AD4055">
            <w:pPr>
              <w:jc w:val="center"/>
              <w:rPr>
                <w:b/>
              </w:rPr>
            </w:pPr>
            <w:r w:rsidRPr="0066041B">
              <w:rPr>
                <w:b/>
              </w:rPr>
              <w:t>Critères d’évaluation</w:t>
            </w:r>
          </w:p>
        </w:tc>
        <w:tc>
          <w:tcPr>
            <w:tcW w:w="4111" w:type="dxa"/>
            <w:shd w:val="clear" w:color="auto" w:fill="DBE5F1" w:themeFill="accent1" w:themeFillTint="33"/>
          </w:tcPr>
          <w:p w:rsidR="00BB580E" w:rsidRPr="0066041B" w:rsidRDefault="00BB580E" w:rsidP="00AD4055">
            <w:pPr>
              <w:jc w:val="center"/>
              <w:rPr>
                <w:b/>
                <w:i/>
              </w:rPr>
            </w:pPr>
            <w:r w:rsidRPr="0066041B">
              <w:rPr>
                <w:b/>
              </w:rPr>
              <w:t>Indicateurs</w:t>
            </w:r>
          </w:p>
        </w:tc>
        <w:tc>
          <w:tcPr>
            <w:tcW w:w="2410" w:type="dxa"/>
            <w:shd w:val="clear" w:color="auto" w:fill="DBE5F1" w:themeFill="accent1" w:themeFillTint="33"/>
          </w:tcPr>
          <w:p w:rsidR="00BB580E" w:rsidRPr="0066041B" w:rsidRDefault="00BB580E" w:rsidP="00AD4055">
            <w:pPr>
              <w:jc w:val="center"/>
              <w:rPr>
                <w:b/>
              </w:rPr>
            </w:pPr>
            <w:r w:rsidRPr="0066041B">
              <w:rPr>
                <w:b/>
              </w:rPr>
              <w:t>Source</w:t>
            </w:r>
          </w:p>
        </w:tc>
      </w:tr>
      <w:tr w:rsidR="00BB580E" w:rsidRPr="00C800BB" w:rsidTr="00AD4055">
        <w:tc>
          <w:tcPr>
            <w:tcW w:w="534" w:type="dxa"/>
            <w:vMerge/>
            <w:shd w:val="clear" w:color="auto" w:fill="DBE5F1" w:themeFill="accent1" w:themeFillTint="33"/>
          </w:tcPr>
          <w:p w:rsidR="00BB580E" w:rsidRPr="00C800BB" w:rsidRDefault="00BB580E" w:rsidP="00AD4055">
            <w:pPr>
              <w:jc w:val="center"/>
            </w:pPr>
          </w:p>
        </w:tc>
        <w:tc>
          <w:tcPr>
            <w:tcW w:w="3685" w:type="dxa"/>
          </w:tcPr>
          <w:p w:rsidR="00BB580E" w:rsidRPr="005E6421" w:rsidRDefault="007471FE" w:rsidP="00AD4055">
            <w:pPr>
              <w:jc w:val="both"/>
              <w:rPr>
                <w:sz w:val="20"/>
              </w:rPr>
            </w:pPr>
            <w:r>
              <w:rPr>
                <w:sz w:val="20"/>
              </w:rPr>
              <w:t>Recueil effectif des données</w:t>
            </w:r>
          </w:p>
        </w:tc>
        <w:tc>
          <w:tcPr>
            <w:tcW w:w="4111" w:type="dxa"/>
          </w:tcPr>
          <w:p w:rsidR="007471FE" w:rsidRDefault="007471FE" w:rsidP="00AD4055">
            <w:pPr>
              <w:jc w:val="both"/>
              <w:rPr>
                <w:sz w:val="20"/>
              </w:rPr>
            </w:pPr>
            <w:r>
              <w:rPr>
                <w:sz w:val="20"/>
              </w:rPr>
              <w:t>Nombre de SST impliqués</w:t>
            </w:r>
          </w:p>
          <w:p w:rsidR="007471FE" w:rsidRDefault="007471FE" w:rsidP="00AD4055">
            <w:pPr>
              <w:jc w:val="both"/>
              <w:rPr>
                <w:sz w:val="20"/>
              </w:rPr>
            </w:pPr>
            <w:r>
              <w:rPr>
                <w:sz w:val="20"/>
              </w:rPr>
              <w:t>Nombre de MT impliqués</w:t>
            </w:r>
          </w:p>
          <w:p w:rsidR="00BB580E" w:rsidRPr="005E6421" w:rsidRDefault="00BB580E" w:rsidP="00AD4055">
            <w:pPr>
              <w:jc w:val="both"/>
              <w:rPr>
                <w:sz w:val="20"/>
              </w:rPr>
            </w:pPr>
            <w:r>
              <w:rPr>
                <w:sz w:val="20"/>
              </w:rPr>
              <w:t>Taux de participants</w:t>
            </w:r>
          </w:p>
        </w:tc>
        <w:tc>
          <w:tcPr>
            <w:tcW w:w="2410" w:type="dxa"/>
          </w:tcPr>
          <w:p w:rsidR="00BB580E" w:rsidRPr="005E6421" w:rsidRDefault="007471FE" w:rsidP="00AD4055">
            <w:pPr>
              <w:jc w:val="both"/>
              <w:rPr>
                <w:sz w:val="20"/>
              </w:rPr>
            </w:pPr>
            <w:r>
              <w:rPr>
                <w:sz w:val="20"/>
              </w:rPr>
              <w:t>Données fournis par les MIT</w:t>
            </w:r>
          </w:p>
        </w:tc>
      </w:tr>
      <w:tr w:rsidR="007471FE" w:rsidTr="00AD4055">
        <w:tc>
          <w:tcPr>
            <w:tcW w:w="534" w:type="dxa"/>
            <w:vMerge/>
            <w:shd w:val="clear" w:color="auto" w:fill="DBE5F1" w:themeFill="accent1" w:themeFillTint="33"/>
          </w:tcPr>
          <w:p w:rsidR="007471FE" w:rsidRDefault="007471FE" w:rsidP="00AD4055">
            <w:pPr>
              <w:jc w:val="center"/>
              <w:rPr>
                <w:b/>
              </w:rPr>
            </w:pPr>
          </w:p>
        </w:tc>
        <w:tc>
          <w:tcPr>
            <w:tcW w:w="3685" w:type="dxa"/>
          </w:tcPr>
          <w:p w:rsidR="007471FE" w:rsidRDefault="007471FE" w:rsidP="00AD4055">
            <w:pPr>
              <w:jc w:val="both"/>
              <w:rPr>
                <w:sz w:val="20"/>
              </w:rPr>
            </w:pPr>
            <w:r>
              <w:rPr>
                <w:sz w:val="20"/>
              </w:rPr>
              <w:t>Animation du réseau d’enquêteurs</w:t>
            </w:r>
          </w:p>
        </w:tc>
        <w:tc>
          <w:tcPr>
            <w:tcW w:w="4111" w:type="dxa"/>
          </w:tcPr>
          <w:p w:rsidR="007471FE" w:rsidRDefault="007471FE" w:rsidP="00AD4055">
            <w:pPr>
              <w:jc w:val="both"/>
              <w:rPr>
                <w:sz w:val="20"/>
              </w:rPr>
            </w:pPr>
            <w:r>
              <w:rPr>
                <w:sz w:val="20"/>
              </w:rPr>
              <w:t>Nombre de réunions</w:t>
            </w:r>
          </w:p>
          <w:p w:rsidR="007471FE" w:rsidRDefault="007471FE" w:rsidP="00AD4055">
            <w:pPr>
              <w:jc w:val="both"/>
              <w:rPr>
                <w:sz w:val="20"/>
              </w:rPr>
            </w:pPr>
            <w:r>
              <w:rPr>
                <w:sz w:val="20"/>
              </w:rPr>
              <w:t>Nombre et qualité des participants</w:t>
            </w:r>
          </w:p>
        </w:tc>
        <w:tc>
          <w:tcPr>
            <w:tcW w:w="2410" w:type="dxa"/>
          </w:tcPr>
          <w:p w:rsidR="007471FE" w:rsidRPr="000C3D02" w:rsidRDefault="007471FE" w:rsidP="00AD4055">
            <w:pPr>
              <w:jc w:val="both"/>
              <w:rPr>
                <w:sz w:val="20"/>
              </w:rPr>
            </w:pPr>
            <w:r>
              <w:rPr>
                <w:sz w:val="20"/>
              </w:rPr>
              <w:t>Feuilles d’émargement</w:t>
            </w:r>
          </w:p>
        </w:tc>
      </w:tr>
      <w:tr w:rsidR="00BB580E" w:rsidTr="00AD4055">
        <w:tc>
          <w:tcPr>
            <w:tcW w:w="534" w:type="dxa"/>
            <w:vMerge/>
            <w:shd w:val="clear" w:color="auto" w:fill="DBE5F1" w:themeFill="accent1" w:themeFillTint="33"/>
          </w:tcPr>
          <w:p w:rsidR="00BB580E" w:rsidRDefault="00BB580E" w:rsidP="00AD4055">
            <w:pPr>
              <w:jc w:val="center"/>
              <w:rPr>
                <w:b/>
              </w:rPr>
            </w:pPr>
          </w:p>
        </w:tc>
        <w:tc>
          <w:tcPr>
            <w:tcW w:w="3685" w:type="dxa"/>
          </w:tcPr>
          <w:p w:rsidR="00BB580E" w:rsidRPr="005E6421" w:rsidRDefault="00CA1A17" w:rsidP="00AD4055">
            <w:pPr>
              <w:jc w:val="both"/>
              <w:rPr>
                <w:sz w:val="20"/>
              </w:rPr>
            </w:pPr>
            <w:r>
              <w:rPr>
                <w:sz w:val="20"/>
              </w:rPr>
              <w:t>Synthèse</w:t>
            </w:r>
            <w:r w:rsidR="00BB580E">
              <w:rPr>
                <w:sz w:val="20"/>
              </w:rPr>
              <w:t xml:space="preserve"> des résultats</w:t>
            </w:r>
          </w:p>
        </w:tc>
        <w:tc>
          <w:tcPr>
            <w:tcW w:w="4111" w:type="dxa"/>
          </w:tcPr>
          <w:p w:rsidR="00BB580E" w:rsidRPr="005E6421" w:rsidRDefault="007471FE" w:rsidP="00AD4055">
            <w:pPr>
              <w:jc w:val="both"/>
              <w:rPr>
                <w:sz w:val="20"/>
              </w:rPr>
            </w:pPr>
            <w:r>
              <w:rPr>
                <w:sz w:val="20"/>
              </w:rPr>
              <w:t>Livrable</w:t>
            </w:r>
          </w:p>
        </w:tc>
        <w:tc>
          <w:tcPr>
            <w:tcW w:w="2410" w:type="dxa"/>
          </w:tcPr>
          <w:p w:rsidR="00BB580E" w:rsidRPr="000C3D02" w:rsidRDefault="007471FE" w:rsidP="00AD4055">
            <w:pPr>
              <w:jc w:val="both"/>
              <w:rPr>
                <w:sz w:val="20"/>
              </w:rPr>
            </w:pPr>
            <w:r>
              <w:rPr>
                <w:sz w:val="20"/>
              </w:rPr>
              <w:t>Document produit</w:t>
            </w:r>
          </w:p>
        </w:tc>
      </w:tr>
      <w:tr w:rsidR="00BB580E" w:rsidTr="00AD4055">
        <w:tc>
          <w:tcPr>
            <w:tcW w:w="534" w:type="dxa"/>
            <w:vMerge/>
            <w:shd w:val="clear" w:color="auto" w:fill="DBE5F1" w:themeFill="accent1" w:themeFillTint="33"/>
          </w:tcPr>
          <w:p w:rsidR="00BB580E" w:rsidRDefault="00BB580E" w:rsidP="00AD4055">
            <w:pPr>
              <w:jc w:val="center"/>
              <w:rPr>
                <w:b/>
              </w:rPr>
            </w:pPr>
          </w:p>
        </w:tc>
        <w:tc>
          <w:tcPr>
            <w:tcW w:w="3685" w:type="dxa"/>
          </w:tcPr>
          <w:p w:rsidR="00BB580E" w:rsidRDefault="00BB580E" w:rsidP="00AD4055">
            <w:pPr>
              <w:jc w:val="both"/>
              <w:rPr>
                <w:sz w:val="20"/>
              </w:rPr>
            </w:pPr>
            <w:r>
              <w:rPr>
                <w:sz w:val="20"/>
              </w:rPr>
              <w:t>Diffusion des résultats</w:t>
            </w:r>
          </w:p>
        </w:tc>
        <w:tc>
          <w:tcPr>
            <w:tcW w:w="4111" w:type="dxa"/>
          </w:tcPr>
          <w:p w:rsidR="00BB580E" w:rsidRDefault="00CA1A17" w:rsidP="00AD4055">
            <w:pPr>
              <w:jc w:val="both"/>
              <w:rPr>
                <w:sz w:val="20"/>
              </w:rPr>
            </w:pPr>
            <w:r>
              <w:rPr>
                <w:sz w:val="20"/>
              </w:rPr>
              <w:t>Nombre de manifestations</w:t>
            </w:r>
          </w:p>
          <w:p w:rsidR="00CA1A17" w:rsidRDefault="00CA1A17" w:rsidP="00AD4055">
            <w:pPr>
              <w:jc w:val="both"/>
              <w:rPr>
                <w:sz w:val="20"/>
              </w:rPr>
            </w:pPr>
            <w:r>
              <w:rPr>
                <w:sz w:val="20"/>
              </w:rPr>
              <w:t>Nombre de participants</w:t>
            </w:r>
          </w:p>
          <w:p w:rsidR="00CA1A17" w:rsidRDefault="00CA1A17" w:rsidP="00AD4055">
            <w:pPr>
              <w:jc w:val="both"/>
              <w:rPr>
                <w:sz w:val="20"/>
              </w:rPr>
            </w:pPr>
            <w:r>
              <w:rPr>
                <w:sz w:val="20"/>
              </w:rPr>
              <w:t>Qualité des participants</w:t>
            </w:r>
          </w:p>
        </w:tc>
        <w:tc>
          <w:tcPr>
            <w:tcW w:w="2410" w:type="dxa"/>
          </w:tcPr>
          <w:p w:rsidR="00BB580E" w:rsidRPr="000C3D02" w:rsidRDefault="00CA1A17" w:rsidP="00AD4055">
            <w:pPr>
              <w:jc w:val="both"/>
              <w:rPr>
                <w:sz w:val="20"/>
              </w:rPr>
            </w:pPr>
            <w:r>
              <w:rPr>
                <w:sz w:val="20"/>
              </w:rPr>
              <w:t>Feuilles d’émargement</w:t>
            </w:r>
          </w:p>
        </w:tc>
      </w:tr>
    </w:tbl>
    <w:p w:rsidR="00BB580E" w:rsidRDefault="00BB580E" w:rsidP="0008579F">
      <w:pPr>
        <w:spacing w:after="0" w:line="240" w:lineRule="auto"/>
        <w:jc w:val="both"/>
        <w:rPr>
          <w:sz w:val="16"/>
          <w:szCs w:val="10"/>
        </w:rPr>
      </w:pPr>
    </w:p>
    <w:p w:rsidR="00BB580E" w:rsidRPr="009A27F1" w:rsidRDefault="00BB580E" w:rsidP="0008579F">
      <w:pPr>
        <w:spacing w:after="0" w:line="240" w:lineRule="auto"/>
        <w:jc w:val="both"/>
        <w:rPr>
          <w:sz w:val="16"/>
          <w:szCs w:val="10"/>
        </w:rPr>
      </w:pPr>
    </w:p>
    <w:tbl>
      <w:tblPr>
        <w:tblStyle w:val="Grilledutableau"/>
        <w:tblW w:w="0" w:type="auto"/>
        <w:tblLook w:val="04A0" w:firstRow="1" w:lastRow="0" w:firstColumn="1" w:lastColumn="0" w:noHBand="0" w:noVBand="1"/>
      </w:tblPr>
      <w:tblGrid>
        <w:gridCol w:w="2654"/>
        <w:gridCol w:w="2250"/>
        <w:gridCol w:w="2704"/>
        <w:gridCol w:w="1574"/>
        <w:gridCol w:w="1500"/>
      </w:tblGrid>
      <w:tr w:rsidR="00BB580E" w:rsidRPr="009A27F1" w:rsidTr="00BD1EE7">
        <w:tc>
          <w:tcPr>
            <w:tcW w:w="10682" w:type="dxa"/>
            <w:gridSpan w:val="5"/>
            <w:tcBorders>
              <w:bottom w:val="single" w:sz="4" w:space="0" w:color="auto"/>
            </w:tcBorders>
            <w:shd w:val="clear" w:color="auto" w:fill="DBE5F1" w:themeFill="accent1" w:themeFillTint="33"/>
          </w:tcPr>
          <w:p w:rsidR="002E2000" w:rsidRDefault="00BB580E" w:rsidP="002E0B6E">
            <w:pPr>
              <w:jc w:val="center"/>
              <w:rPr>
                <w:b/>
                <w:sz w:val="20"/>
                <w:szCs w:val="10"/>
              </w:rPr>
            </w:pPr>
            <w:r w:rsidRPr="009A27F1">
              <w:rPr>
                <w:b/>
                <w:sz w:val="20"/>
                <w:szCs w:val="10"/>
              </w:rPr>
              <w:t xml:space="preserve">Objectif spécifique </w:t>
            </w:r>
            <w:r w:rsidR="002E2000">
              <w:rPr>
                <w:b/>
                <w:sz w:val="20"/>
                <w:szCs w:val="10"/>
              </w:rPr>
              <w:t>III</w:t>
            </w:r>
          </w:p>
          <w:p w:rsidR="00BB580E" w:rsidRPr="009A27F1" w:rsidRDefault="002E2000" w:rsidP="002E0B6E">
            <w:pPr>
              <w:jc w:val="center"/>
              <w:rPr>
                <w:b/>
                <w:sz w:val="20"/>
                <w:szCs w:val="10"/>
              </w:rPr>
            </w:pPr>
            <w:r w:rsidRPr="002E2000">
              <w:rPr>
                <w:sz w:val="20"/>
              </w:rPr>
              <w:t>Pérenniser l’</w:t>
            </w:r>
            <w:r>
              <w:rPr>
                <w:sz w:val="20"/>
              </w:rPr>
              <w:t>observatoire des inaptitudes</w:t>
            </w:r>
          </w:p>
        </w:tc>
      </w:tr>
      <w:tr w:rsidR="00BB580E" w:rsidRPr="00EB104C" w:rsidTr="00837E4C">
        <w:tc>
          <w:tcPr>
            <w:tcW w:w="10682" w:type="dxa"/>
            <w:gridSpan w:val="5"/>
            <w:shd w:val="clear" w:color="auto" w:fill="FDE9D9" w:themeFill="accent6" w:themeFillTint="33"/>
          </w:tcPr>
          <w:p w:rsidR="00BB580E" w:rsidRPr="00CA1A17" w:rsidRDefault="00BB580E" w:rsidP="00CA1A17">
            <w:pPr>
              <w:jc w:val="center"/>
              <w:rPr>
                <w:b/>
                <w:sz w:val="20"/>
                <w:szCs w:val="10"/>
              </w:rPr>
            </w:pPr>
            <w:r w:rsidRPr="00EB104C">
              <w:rPr>
                <w:b/>
                <w:sz w:val="20"/>
                <w:szCs w:val="10"/>
              </w:rPr>
              <w:t>Description des activités</w:t>
            </w:r>
          </w:p>
        </w:tc>
      </w:tr>
      <w:tr w:rsidR="00BB580E" w:rsidRPr="00CF383E" w:rsidTr="00BB580E">
        <w:tc>
          <w:tcPr>
            <w:tcW w:w="2654" w:type="dxa"/>
            <w:shd w:val="clear" w:color="auto" w:fill="FDE9D9" w:themeFill="accent6" w:themeFillTint="33"/>
          </w:tcPr>
          <w:p w:rsidR="00BB580E" w:rsidRPr="00CF383E" w:rsidRDefault="00BB580E" w:rsidP="0026351F">
            <w:pPr>
              <w:jc w:val="center"/>
              <w:rPr>
                <w:b/>
                <w:sz w:val="20"/>
                <w:szCs w:val="10"/>
              </w:rPr>
            </w:pPr>
            <w:r>
              <w:rPr>
                <w:b/>
                <w:sz w:val="20"/>
                <w:szCs w:val="10"/>
              </w:rPr>
              <w:t>Actions</w:t>
            </w:r>
          </w:p>
        </w:tc>
        <w:tc>
          <w:tcPr>
            <w:tcW w:w="2250" w:type="dxa"/>
            <w:shd w:val="clear" w:color="auto" w:fill="FDE9D9" w:themeFill="accent6" w:themeFillTint="33"/>
          </w:tcPr>
          <w:p w:rsidR="00BB580E" w:rsidRPr="00CF383E" w:rsidRDefault="00BB580E" w:rsidP="0026351F">
            <w:pPr>
              <w:jc w:val="center"/>
              <w:rPr>
                <w:b/>
                <w:sz w:val="20"/>
                <w:szCs w:val="10"/>
              </w:rPr>
            </w:pPr>
            <w:r>
              <w:rPr>
                <w:b/>
                <w:sz w:val="20"/>
                <w:szCs w:val="10"/>
              </w:rPr>
              <w:t>Cibles</w:t>
            </w:r>
          </w:p>
        </w:tc>
        <w:tc>
          <w:tcPr>
            <w:tcW w:w="2704" w:type="dxa"/>
            <w:shd w:val="clear" w:color="auto" w:fill="FDE9D9" w:themeFill="accent6" w:themeFillTint="33"/>
          </w:tcPr>
          <w:p w:rsidR="00BB580E" w:rsidRPr="00CF383E" w:rsidRDefault="00BB580E" w:rsidP="0026351F">
            <w:pPr>
              <w:jc w:val="center"/>
              <w:rPr>
                <w:b/>
                <w:sz w:val="20"/>
                <w:szCs w:val="10"/>
              </w:rPr>
            </w:pPr>
            <w:r w:rsidRPr="00CF383E">
              <w:rPr>
                <w:b/>
                <w:sz w:val="20"/>
                <w:szCs w:val="10"/>
              </w:rPr>
              <w:t>Méthodologie</w:t>
            </w:r>
          </w:p>
        </w:tc>
        <w:tc>
          <w:tcPr>
            <w:tcW w:w="1574" w:type="dxa"/>
            <w:shd w:val="clear" w:color="auto" w:fill="FDE9D9" w:themeFill="accent6" w:themeFillTint="33"/>
          </w:tcPr>
          <w:p w:rsidR="00BB580E" w:rsidRPr="00CF383E" w:rsidRDefault="00BB580E" w:rsidP="0026351F">
            <w:pPr>
              <w:jc w:val="center"/>
              <w:rPr>
                <w:b/>
                <w:sz w:val="20"/>
                <w:szCs w:val="10"/>
              </w:rPr>
            </w:pPr>
            <w:r w:rsidRPr="00CF383E">
              <w:rPr>
                <w:b/>
                <w:sz w:val="20"/>
                <w:szCs w:val="10"/>
              </w:rPr>
              <w:t>Responsable</w:t>
            </w:r>
          </w:p>
        </w:tc>
        <w:tc>
          <w:tcPr>
            <w:tcW w:w="1500" w:type="dxa"/>
            <w:shd w:val="clear" w:color="auto" w:fill="FDE9D9" w:themeFill="accent6" w:themeFillTint="33"/>
          </w:tcPr>
          <w:p w:rsidR="00BB580E" w:rsidRPr="00CF383E" w:rsidRDefault="00BB580E" w:rsidP="0026351F">
            <w:pPr>
              <w:jc w:val="center"/>
              <w:rPr>
                <w:b/>
                <w:sz w:val="20"/>
                <w:szCs w:val="10"/>
              </w:rPr>
            </w:pPr>
            <w:r w:rsidRPr="00CF383E">
              <w:rPr>
                <w:b/>
                <w:sz w:val="20"/>
                <w:szCs w:val="10"/>
              </w:rPr>
              <w:t>Echéances</w:t>
            </w:r>
          </w:p>
        </w:tc>
      </w:tr>
      <w:tr w:rsidR="00BB580E" w:rsidRPr="009A27F1" w:rsidTr="00BB580E">
        <w:tc>
          <w:tcPr>
            <w:tcW w:w="2654" w:type="dxa"/>
            <w:tcBorders>
              <w:bottom w:val="single" w:sz="4" w:space="0" w:color="auto"/>
            </w:tcBorders>
          </w:tcPr>
          <w:p w:rsidR="00BB580E" w:rsidRPr="009A27F1" w:rsidRDefault="00033481" w:rsidP="00416F1E">
            <w:pPr>
              <w:jc w:val="both"/>
              <w:rPr>
                <w:sz w:val="20"/>
                <w:szCs w:val="10"/>
              </w:rPr>
            </w:pPr>
            <w:r>
              <w:rPr>
                <w:sz w:val="20"/>
                <w:szCs w:val="10"/>
              </w:rPr>
              <w:t xml:space="preserve">2.5.3.6 </w:t>
            </w:r>
            <w:r w:rsidR="00CA1A17">
              <w:rPr>
                <w:sz w:val="20"/>
                <w:szCs w:val="10"/>
              </w:rPr>
              <w:t>Création d’un observatoire pérenne de l’inaptitude</w:t>
            </w:r>
          </w:p>
        </w:tc>
        <w:tc>
          <w:tcPr>
            <w:tcW w:w="2250" w:type="dxa"/>
          </w:tcPr>
          <w:p w:rsidR="00BB580E" w:rsidRPr="009A27F1" w:rsidRDefault="00CA1A17" w:rsidP="0026351F">
            <w:pPr>
              <w:jc w:val="both"/>
              <w:rPr>
                <w:sz w:val="20"/>
                <w:szCs w:val="10"/>
              </w:rPr>
            </w:pPr>
            <w:r>
              <w:rPr>
                <w:sz w:val="20"/>
                <w:szCs w:val="10"/>
              </w:rPr>
              <w:t>SST</w:t>
            </w:r>
          </w:p>
        </w:tc>
        <w:tc>
          <w:tcPr>
            <w:tcW w:w="2704" w:type="dxa"/>
          </w:tcPr>
          <w:p w:rsidR="00BB580E" w:rsidRPr="009A27F1" w:rsidRDefault="00CA1A17" w:rsidP="0026351F">
            <w:pPr>
              <w:jc w:val="both"/>
              <w:rPr>
                <w:sz w:val="20"/>
                <w:szCs w:val="10"/>
              </w:rPr>
            </w:pPr>
            <w:r>
              <w:rPr>
                <w:sz w:val="20"/>
                <w:szCs w:val="10"/>
              </w:rPr>
              <w:t>Mise en place d’un réseau d’enquêteurs couvrant l’ensemble de la région</w:t>
            </w:r>
          </w:p>
        </w:tc>
        <w:tc>
          <w:tcPr>
            <w:tcW w:w="1574" w:type="dxa"/>
          </w:tcPr>
          <w:p w:rsidR="00BB580E" w:rsidRPr="009A27F1" w:rsidRDefault="00CA1A17" w:rsidP="0026351F">
            <w:pPr>
              <w:jc w:val="both"/>
              <w:rPr>
                <w:sz w:val="20"/>
                <w:szCs w:val="10"/>
              </w:rPr>
            </w:pPr>
            <w:r>
              <w:rPr>
                <w:sz w:val="20"/>
                <w:szCs w:val="10"/>
              </w:rPr>
              <w:t>Direccte</w:t>
            </w:r>
          </w:p>
        </w:tc>
        <w:tc>
          <w:tcPr>
            <w:tcW w:w="1500" w:type="dxa"/>
          </w:tcPr>
          <w:p w:rsidR="00BB580E" w:rsidRPr="009A27F1" w:rsidRDefault="00CA1A17" w:rsidP="0026351F">
            <w:pPr>
              <w:jc w:val="both"/>
              <w:rPr>
                <w:sz w:val="20"/>
                <w:szCs w:val="10"/>
              </w:rPr>
            </w:pPr>
            <w:r>
              <w:rPr>
                <w:sz w:val="20"/>
                <w:szCs w:val="10"/>
              </w:rPr>
              <w:t>2020</w:t>
            </w:r>
          </w:p>
        </w:tc>
      </w:tr>
      <w:tr w:rsidR="00BB580E" w:rsidRPr="009A27F1" w:rsidTr="002C2C92">
        <w:tc>
          <w:tcPr>
            <w:tcW w:w="2654" w:type="dxa"/>
            <w:shd w:val="clear" w:color="auto" w:fill="FDE9D9" w:themeFill="accent6" w:themeFillTint="33"/>
          </w:tcPr>
          <w:p w:rsidR="00BB580E" w:rsidRPr="009A27F1" w:rsidRDefault="00BB580E" w:rsidP="0026351F">
            <w:pPr>
              <w:jc w:val="both"/>
              <w:rPr>
                <w:sz w:val="20"/>
                <w:szCs w:val="10"/>
              </w:rPr>
            </w:pPr>
            <w:r>
              <w:rPr>
                <w:b/>
              </w:rPr>
              <w:t>Partenaires de l’action</w:t>
            </w:r>
          </w:p>
        </w:tc>
        <w:tc>
          <w:tcPr>
            <w:tcW w:w="8028" w:type="dxa"/>
            <w:gridSpan w:val="4"/>
          </w:tcPr>
          <w:p w:rsidR="00BB580E" w:rsidRPr="00CA1A17" w:rsidRDefault="00CA1A17" w:rsidP="0026351F">
            <w:pPr>
              <w:jc w:val="both"/>
              <w:rPr>
                <w:sz w:val="20"/>
                <w:szCs w:val="20"/>
              </w:rPr>
            </w:pPr>
            <w:r>
              <w:rPr>
                <w:sz w:val="20"/>
                <w:szCs w:val="20"/>
              </w:rPr>
              <w:t>SESE, Carsat, MSA</w:t>
            </w:r>
          </w:p>
        </w:tc>
      </w:tr>
    </w:tbl>
    <w:p w:rsidR="007E660E" w:rsidRDefault="007E660E" w:rsidP="00953A91">
      <w:pPr>
        <w:spacing w:after="0" w:line="240" w:lineRule="auto"/>
        <w:jc w:val="both"/>
        <w:rPr>
          <w:sz w:val="10"/>
          <w:szCs w:val="10"/>
        </w:rPr>
      </w:pPr>
    </w:p>
    <w:p w:rsidR="007E660E" w:rsidRDefault="007E660E" w:rsidP="00953A91">
      <w:pPr>
        <w:spacing w:after="0" w:line="240" w:lineRule="auto"/>
        <w:jc w:val="both"/>
        <w:rPr>
          <w:sz w:val="10"/>
          <w:szCs w:val="10"/>
        </w:rPr>
      </w:pPr>
    </w:p>
    <w:tbl>
      <w:tblPr>
        <w:tblStyle w:val="Grilledutableau"/>
        <w:tblW w:w="10740" w:type="dxa"/>
        <w:tblLayout w:type="fixed"/>
        <w:tblLook w:val="04A0" w:firstRow="1" w:lastRow="0" w:firstColumn="1" w:lastColumn="0" w:noHBand="0" w:noVBand="1"/>
      </w:tblPr>
      <w:tblGrid>
        <w:gridCol w:w="959"/>
        <w:gridCol w:w="3260"/>
        <w:gridCol w:w="4111"/>
        <w:gridCol w:w="2410"/>
      </w:tblGrid>
      <w:tr w:rsidR="00953A91" w:rsidRPr="00C800BB" w:rsidTr="00CA1A17">
        <w:tc>
          <w:tcPr>
            <w:tcW w:w="959" w:type="dxa"/>
            <w:vMerge w:val="restart"/>
            <w:shd w:val="clear" w:color="auto" w:fill="DBE5F1" w:themeFill="accent1" w:themeFillTint="33"/>
            <w:textDirection w:val="btLr"/>
          </w:tcPr>
          <w:p w:rsidR="00953A91" w:rsidRPr="00C800BB" w:rsidRDefault="00953A91" w:rsidP="0026351F">
            <w:pPr>
              <w:ind w:left="113" w:right="113"/>
              <w:jc w:val="center"/>
            </w:pPr>
            <w:r>
              <w:rPr>
                <w:b/>
              </w:rPr>
              <w:t>Évaluation de l’action</w:t>
            </w:r>
          </w:p>
        </w:tc>
        <w:tc>
          <w:tcPr>
            <w:tcW w:w="3260" w:type="dxa"/>
            <w:shd w:val="clear" w:color="auto" w:fill="DBE5F1" w:themeFill="accent1" w:themeFillTint="33"/>
          </w:tcPr>
          <w:p w:rsidR="00953A91" w:rsidRPr="0066041B" w:rsidRDefault="00953A91" w:rsidP="0026351F">
            <w:pPr>
              <w:jc w:val="center"/>
              <w:rPr>
                <w:b/>
              </w:rPr>
            </w:pPr>
            <w:r w:rsidRPr="0066041B">
              <w:rPr>
                <w:b/>
              </w:rPr>
              <w:t>Critères d’évaluation</w:t>
            </w:r>
          </w:p>
        </w:tc>
        <w:tc>
          <w:tcPr>
            <w:tcW w:w="4111" w:type="dxa"/>
            <w:shd w:val="clear" w:color="auto" w:fill="DBE5F1" w:themeFill="accent1" w:themeFillTint="33"/>
          </w:tcPr>
          <w:p w:rsidR="00953A91" w:rsidRPr="0066041B" w:rsidRDefault="00953A91" w:rsidP="0026351F">
            <w:pPr>
              <w:jc w:val="center"/>
              <w:rPr>
                <w:b/>
                <w:i/>
              </w:rPr>
            </w:pPr>
            <w:r w:rsidRPr="0066041B">
              <w:rPr>
                <w:b/>
              </w:rPr>
              <w:t>Indicateurs</w:t>
            </w:r>
          </w:p>
        </w:tc>
        <w:tc>
          <w:tcPr>
            <w:tcW w:w="2410" w:type="dxa"/>
            <w:shd w:val="clear" w:color="auto" w:fill="DBE5F1" w:themeFill="accent1" w:themeFillTint="33"/>
          </w:tcPr>
          <w:p w:rsidR="00953A91" w:rsidRPr="0066041B" w:rsidRDefault="00953A91" w:rsidP="0026351F">
            <w:pPr>
              <w:jc w:val="center"/>
              <w:rPr>
                <w:b/>
              </w:rPr>
            </w:pPr>
            <w:r w:rsidRPr="0066041B">
              <w:rPr>
                <w:b/>
              </w:rPr>
              <w:t>Source</w:t>
            </w:r>
          </w:p>
        </w:tc>
      </w:tr>
      <w:tr w:rsidR="00E021A4" w:rsidRPr="00C800BB" w:rsidTr="00CA1A17">
        <w:trPr>
          <w:trHeight w:val="941"/>
        </w:trPr>
        <w:tc>
          <w:tcPr>
            <w:tcW w:w="959" w:type="dxa"/>
            <w:vMerge/>
            <w:shd w:val="clear" w:color="auto" w:fill="DBE5F1" w:themeFill="accent1" w:themeFillTint="33"/>
            <w:textDirection w:val="btLr"/>
          </w:tcPr>
          <w:p w:rsidR="00E021A4" w:rsidRDefault="00E021A4" w:rsidP="0026351F">
            <w:pPr>
              <w:jc w:val="center"/>
              <w:rPr>
                <w:b/>
              </w:rPr>
            </w:pPr>
          </w:p>
        </w:tc>
        <w:tc>
          <w:tcPr>
            <w:tcW w:w="3260" w:type="dxa"/>
            <w:shd w:val="clear" w:color="auto" w:fill="FFFFFF" w:themeFill="background1"/>
          </w:tcPr>
          <w:p w:rsidR="00E021A4" w:rsidRPr="00CA1A17" w:rsidRDefault="00D71EE8" w:rsidP="00DF6C45">
            <w:pPr>
              <w:rPr>
                <w:sz w:val="20"/>
              </w:rPr>
            </w:pPr>
            <w:r w:rsidRPr="00CA1A17">
              <w:rPr>
                <w:sz w:val="20"/>
              </w:rPr>
              <w:t>Création d’un observatoire</w:t>
            </w:r>
          </w:p>
        </w:tc>
        <w:tc>
          <w:tcPr>
            <w:tcW w:w="4111" w:type="dxa"/>
            <w:shd w:val="clear" w:color="auto" w:fill="FFFFFF" w:themeFill="background1"/>
          </w:tcPr>
          <w:p w:rsidR="00D71EE8" w:rsidRDefault="00CA1A17" w:rsidP="00DF6C45">
            <w:pPr>
              <w:rPr>
                <w:sz w:val="20"/>
              </w:rPr>
            </w:pPr>
            <w:bookmarkStart w:id="1" w:name="_GoBack"/>
            <w:r>
              <w:rPr>
                <w:sz w:val="20"/>
              </w:rPr>
              <w:t>Nombre de SST impliqués</w:t>
            </w:r>
          </w:p>
          <w:p w:rsidR="00CA1A17" w:rsidRDefault="00CA1A17" w:rsidP="00DF6C45">
            <w:pPr>
              <w:rPr>
                <w:sz w:val="20"/>
              </w:rPr>
            </w:pPr>
            <w:r>
              <w:rPr>
                <w:sz w:val="20"/>
              </w:rPr>
              <w:t>Nombre d’enquêteurs</w:t>
            </w:r>
          </w:p>
          <w:p w:rsidR="00CA1A17" w:rsidRPr="00CA1A17" w:rsidRDefault="00CA1A17" w:rsidP="00DF6C45">
            <w:pPr>
              <w:rPr>
                <w:sz w:val="20"/>
              </w:rPr>
            </w:pPr>
            <w:r>
              <w:rPr>
                <w:sz w:val="20"/>
              </w:rPr>
              <w:t>Qualité des enquêteurs</w:t>
            </w:r>
            <w:bookmarkEnd w:id="1"/>
          </w:p>
        </w:tc>
        <w:tc>
          <w:tcPr>
            <w:tcW w:w="2410" w:type="dxa"/>
            <w:shd w:val="clear" w:color="auto" w:fill="FFFFFF" w:themeFill="background1"/>
          </w:tcPr>
          <w:p w:rsidR="00E021A4" w:rsidRPr="00CA1A17" w:rsidRDefault="00CA1A17" w:rsidP="00A04E4F">
            <w:pPr>
              <w:jc w:val="both"/>
              <w:rPr>
                <w:sz w:val="20"/>
              </w:rPr>
            </w:pPr>
            <w:r>
              <w:rPr>
                <w:sz w:val="20"/>
              </w:rPr>
              <w:t>Données fournies par les MIT</w:t>
            </w:r>
          </w:p>
        </w:tc>
      </w:tr>
    </w:tbl>
    <w:p w:rsidR="00953A91" w:rsidRDefault="00953A91" w:rsidP="00953A91">
      <w:pPr>
        <w:spacing w:after="0" w:line="240" w:lineRule="auto"/>
        <w:jc w:val="both"/>
      </w:pPr>
    </w:p>
    <w:p w:rsidR="00C343DC" w:rsidRDefault="00C343DC" w:rsidP="00FA5523">
      <w:pPr>
        <w:spacing w:after="0" w:line="240" w:lineRule="auto"/>
        <w:jc w:val="both"/>
      </w:pPr>
    </w:p>
    <w:p w:rsidR="00C343DC" w:rsidRDefault="00C343DC" w:rsidP="00FA5523">
      <w:pPr>
        <w:spacing w:after="0" w:line="240" w:lineRule="auto"/>
        <w:jc w:val="both"/>
      </w:pPr>
    </w:p>
    <w:tbl>
      <w:tblPr>
        <w:tblStyle w:val="Grilledutableau"/>
        <w:tblW w:w="0" w:type="auto"/>
        <w:tblLook w:val="04A0" w:firstRow="1" w:lastRow="0" w:firstColumn="1" w:lastColumn="0" w:noHBand="0" w:noVBand="1"/>
      </w:tblPr>
      <w:tblGrid>
        <w:gridCol w:w="1809"/>
        <w:gridCol w:w="4253"/>
        <w:gridCol w:w="4544"/>
      </w:tblGrid>
      <w:tr w:rsidR="00BB580E" w:rsidRPr="0067406E" w:rsidTr="00AD4055">
        <w:tc>
          <w:tcPr>
            <w:tcW w:w="10606" w:type="dxa"/>
            <w:gridSpan w:val="3"/>
            <w:shd w:val="clear" w:color="auto" w:fill="D9D9D9" w:themeFill="background1" w:themeFillShade="D9"/>
          </w:tcPr>
          <w:p w:rsidR="00BB580E" w:rsidRPr="0067406E" w:rsidRDefault="00BB580E" w:rsidP="00AD4055">
            <w:pPr>
              <w:jc w:val="center"/>
              <w:rPr>
                <w:b/>
                <w:sz w:val="20"/>
                <w:szCs w:val="10"/>
              </w:rPr>
            </w:pPr>
            <w:r w:rsidRPr="0067406E">
              <w:rPr>
                <w:b/>
                <w:sz w:val="20"/>
                <w:szCs w:val="10"/>
              </w:rPr>
              <w:t>Suivi de l’action</w:t>
            </w:r>
          </w:p>
        </w:tc>
      </w:tr>
      <w:tr w:rsidR="00BB580E" w:rsidRPr="0067406E" w:rsidTr="00AD4055">
        <w:tc>
          <w:tcPr>
            <w:tcW w:w="1809" w:type="dxa"/>
          </w:tcPr>
          <w:p w:rsidR="00BB580E" w:rsidRPr="0067406E" w:rsidRDefault="00BB580E" w:rsidP="00AD4055">
            <w:pPr>
              <w:jc w:val="both"/>
              <w:rPr>
                <w:b/>
                <w:sz w:val="20"/>
                <w:szCs w:val="10"/>
              </w:rPr>
            </w:pPr>
            <w:r w:rsidRPr="0067406E">
              <w:rPr>
                <w:b/>
                <w:sz w:val="20"/>
                <w:szCs w:val="10"/>
              </w:rPr>
              <w:t>Date</w:t>
            </w:r>
          </w:p>
        </w:tc>
        <w:tc>
          <w:tcPr>
            <w:tcW w:w="4253" w:type="dxa"/>
          </w:tcPr>
          <w:p w:rsidR="00BB580E" w:rsidRDefault="00BB580E" w:rsidP="00AD4055">
            <w:pPr>
              <w:jc w:val="both"/>
              <w:rPr>
                <w:b/>
                <w:sz w:val="20"/>
                <w:szCs w:val="10"/>
              </w:rPr>
            </w:pPr>
            <w:r w:rsidRPr="0067406E">
              <w:rPr>
                <w:b/>
                <w:sz w:val="20"/>
                <w:szCs w:val="10"/>
              </w:rPr>
              <w:t>Nature de l’évolution</w:t>
            </w:r>
          </w:p>
          <w:p w:rsidR="00BB580E" w:rsidRPr="0067406E" w:rsidRDefault="00BB580E" w:rsidP="00AD4055">
            <w:pPr>
              <w:jc w:val="both"/>
              <w:rPr>
                <w:b/>
                <w:sz w:val="20"/>
                <w:szCs w:val="10"/>
              </w:rPr>
            </w:pPr>
            <w:r w:rsidRPr="0067406E">
              <w:rPr>
                <w:sz w:val="20"/>
                <w:szCs w:val="10"/>
              </w:rPr>
              <w:t>(Actions, partenaires, cible, calendrier, etc)</w:t>
            </w:r>
          </w:p>
        </w:tc>
        <w:tc>
          <w:tcPr>
            <w:tcW w:w="4544" w:type="dxa"/>
          </w:tcPr>
          <w:p w:rsidR="00BB580E" w:rsidRPr="0067406E" w:rsidRDefault="00BB580E" w:rsidP="00AD4055">
            <w:pPr>
              <w:jc w:val="both"/>
              <w:rPr>
                <w:b/>
                <w:sz w:val="20"/>
                <w:szCs w:val="10"/>
              </w:rPr>
            </w:pPr>
            <w:r w:rsidRPr="0067406E">
              <w:rPr>
                <w:b/>
                <w:sz w:val="20"/>
                <w:szCs w:val="10"/>
              </w:rPr>
              <w:t>Raison</w:t>
            </w:r>
            <w:r>
              <w:rPr>
                <w:b/>
                <w:sz w:val="20"/>
                <w:szCs w:val="10"/>
              </w:rPr>
              <w:t>s</w:t>
            </w:r>
            <w:r w:rsidRPr="0067406E">
              <w:rPr>
                <w:b/>
                <w:sz w:val="20"/>
                <w:szCs w:val="10"/>
              </w:rPr>
              <w:t xml:space="preserve"> de l’évolution</w:t>
            </w:r>
          </w:p>
        </w:tc>
      </w:tr>
      <w:tr w:rsidR="00BB580E" w:rsidTr="00AD4055">
        <w:tc>
          <w:tcPr>
            <w:tcW w:w="1809" w:type="dxa"/>
          </w:tcPr>
          <w:p w:rsidR="00BB580E" w:rsidRDefault="00BB580E" w:rsidP="00AD4055">
            <w:pPr>
              <w:jc w:val="both"/>
              <w:rPr>
                <w:sz w:val="16"/>
                <w:szCs w:val="10"/>
              </w:rPr>
            </w:pPr>
          </w:p>
        </w:tc>
        <w:tc>
          <w:tcPr>
            <w:tcW w:w="4253" w:type="dxa"/>
          </w:tcPr>
          <w:p w:rsidR="00BB580E" w:rsidRDefault="00BB580E" w:rsidP="00AD4055">
            <w:pPr>
              <w:jc w:val="both"/>
              <w:rPr>
                <w:sz w:val="16"/>
                <w:szCs w:val="10"/>
              </w:rPr>
            </w:pPr>
          </w:p>
        </w:tc>
        <w:tc>
          <w:tcPr>
            <w:tcW w:w="4544" w:type="dxa"/>
          </w:tcPr>
          <w:p w:rsidR="00BB580E" w:rsidRDefault="00BB580E" w:rsidP="00AD4055">
            <w:pPr>
              <w:jc w:val="both"/>
              <w:rPr>
                <w:sz w:val="16"/>
                <w:szCs w:val="10"/>
              </w:rPr>
            </w:pPr>
          </w:p>
        </w:tc>
      </w:tr>
      <w:tr w:rsidR="00BB580E" w:rsidTr="00AD4055">
        <w:tc>
          <w:tcPr>
            <w:tcW w:w="1809" w:type="dxa"/>
          </w:tcPr>
          <w:p w:rsidR="00BB580E" w:rsidRDefault="00BB580E" w:rsidP="00AD4055">
            <w:pPr>
              <w:jc w:val="both"/>
              <w:rPr>
                <w:sz w:val="16"/>
                <w:szCs w:val="10"/>
              </w:rPr>
            </w:pPr>
          </w:p>
        </w:tc>
        <w:tc>
          <w:tcPr>
            <w:tcW w:w="4253" w:type="dxa"/>
          </w:tcPr>
          <w:p w:rsidR="00BB580E" w:rsidRDefault="00BB580E" w:rsidP="00AD4055">
            <w:pPr>
              <w:jc w:val="both"/>
              <w:rPr>
                <w:sz w:val="16"/>
                <w:szCs w:val="10"/>
              </w:rPr>
            </w:pPr>
          </w:p>
        </w:tc>
        <w:tc>
          <w:tcPr>
            <w:tcW w:w="4544" w:type="dxa"/>
          </w:tcPr>
          <w:p w:rsidR="00BB580E" w:rsidRDefault="00BB580E" w:rsidP="00AD4055">
            <w:pPr>
              <w:jc w:val="both"/>
              <w:rPr>
                <w:sz w:val="16"/>
                <w:szCs w:val="10"/>
              </w:rPr>
            </w:pPr>
          </w:p>
        </w:tc>
      </w:tr>
      <w:tr w:rsidR="00BB580E" w:rsidTr="00AD4055">
        <w:tc>
          <w:tcPr>
            <w:tcW w:w="1809" w:type="dxa"/>
          </w:tcPr>
          <w:p w:rsidR="00BB580E" w:rsidRDefault="00BB580E" w:rsidP="00AD4055">
            <w:pPr>
              <w:jc w:val="both"/>
              <w:rPr>
                <w:sz w:val="16"/>
                <w:szCs w:val="10"/>
              </w:rPr>
            </w:pPr>
          </w:p>
        </w:tc>
        <w:tc>
          <w:tcPr>
            <w:tcW w:w="4253" w:type="dxa"/>
          </w:tcPr>
          <w:p w:rsidR="00BB580E" w:rsidRDefault="00BB580E" w:rsidP="00AD4055">
            <w:pPr>
              <w:jc w:val="both"/>
              <w:rPr>
                <w:sz w:val="16"/>
                <w:szCs w:val="10"/>
              </w:rPr>
            </w:pPr>
          </w:p>
        </w:tc>
        <w:tc>
          <w:tcPr>
            <w:tcW w:w="4544" w:type="dxa"/>
          </w:tcPr>
          <w:p w:rsidR="00BB580E" w:rsidRDefault="00BB580E" w:rsidP="00AD4055">
            <w:pPr>
              <w:jc w:val="both"/>
              <w:rPr>
                <w:sz w:val="16"/>
                <w:szCs w:val="10"/>
              </w:rPr>
            </w:pPr>
          </w:p>
        </w:tc>
      </w:tr>
    </w:tbl>
    <w:p w:rsidR="00FA5523" w:rsidRDefault="00FA5523" w:rsidP="00FA5523">
      <w:pPr>
        <w:spacing w:after="0" w:line="240" w:lineRule="auto"/>
        <w:jc w:val="both"/>
      </w:pPr>
    </w:p>
    <w:sectPr w:rsidR="00FA5523" w:rsidSect="00F9542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35" w:rsidRDefault="00DB6735" w:rsidP="00FA5523">
      <w:pPr>
        <w:spacing w:after="0" w:line="240" w:lineRule="auto"/>
      </w:pPr>
      <w:r>
        <w:separator/>
      </w:r>
    </w:p>
  </w:endnote>
  <w:endnote w:type="continuationSeparator" w:id="0">
    <w:p w:rsidR="00DB6735" w:rsidRDefault="00DB6735" w:rsidP="00FA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04223691"/>
      <w:docPartObj>
        <w:docPartGallery w:val="Page Numbers (Bottom of Page)"/>
        <w:docPartUnique/>
      </w:docPartObj>
    </w:sdtPr>
    <w:sdtEndPr/>
    <w:sdtContent>
      <w:p w:rsidR="00DB6735" w:rsidRPr="00250AE5" w:rsidRDefault="001C59D5">
        <w:pPr>
          <w:pStyle w:val="Pieddepage"/>
          <w:jc w:val="center"/>
          <w:rPr>
            <w:sz w:val="16"/>
            <w:szCs w:val="16"/>
          </w:rPr>
        </w:pPr>
        <w:r w:rsidRPr="00250AE5">
          <w:rPr>
            <w:sz w:val="16"/>
            <w:szCs w:val="16"/>
          </w:rPr>
          <w:fldChar w:fldCharType="begin"/>
        </w:r>
        <w:r w:rsidR="00DB6735" w:rsidRPr="00250AE5">
          <w:rPr>
            <w:sz w:val="16"/>
            <w:szCs w:val="16"/>
          </w:rPr>
          <w:instrText>PAGE   \* MERGEFORMAT</w:instrText>
        </w:r>
        <w:r w:rsidRPr="00250AE5">
          <w:rPr>
            <w:sz w:val="16"/>
            <w:szCs w:val="16"/>
          </w:rPr>
          <w:fldChar w:fldCharType="separate"/>
        </w:r>
        <w:r w:rsidR="00E521D9">
          <w:rPr>
            <w:noProof/>
            <w:sz w:val="16"/>
            <w:szCs w:val="16"/>
          </w:rPr>
          <w:t>3</w:t>
        </w:r>
        <w:r w:rsidRPr="00250AE5">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35" w:rsidRDefault="00DB6735" w:rsidP="00FA5523">
      <w:pPr>
        <w:spacing w:after="0" w:line="240" w:lineRule="auto"/>
      </w:pPr>
      <w:r>
        <w:separator/>
      </w:r>
    </w:p>
  </w:footnote>
  <w:footnote w:type="continuationSeparator" w:id="0">
    <w:p w:rsidR="00DB6735" w:rsidRDefault="00DB6735" w:rsidP="00FA5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00" w:rsidRPr="002E2000" w:rsidRDefault="002E2000">
    <w:pPr>
      <w:pStyle w:val="En-tte"/>
      <w:rPr>
        <w:sz w:val="16"/>
        <w:szCs w:val="16"/>
      </w:rPr>
    </w:pPr>
    <w:r w:rsidRPr="002E2000">
      <w:rPr>
        <w:sz w:val="16"/>
        <w:szCs w:val="16"/>
      </w:rPr>
      <w:t>0</w:t>
    </w:r>
    <w:r w:rsidR="00033481">
      <w:rPr>
        <w:sz w:val="16"/>
        <w:szCs w:val="16"/>
      </w:rPr>
      <w:t>6</w:t>
    </w:r>
    <w:r w:rsidRPr="002E2000">
      <w:rPr>
        <w:sz w:val="16"/>
        <w:szCs w:val="16"/>
      </w:rPr>
      <w:t>/04/2017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C7221"/>
    <w:multiLevelType w:val="hybridMultilevel"/>
    <w:tmpl w:val="69507FDA"/>
    <w:lvl w:ilvl="0" w:tplc="B86A6D08">
      <w:start w:val="1"/>
      <w:numFmt w:val="bullet"/>
      <w:lvlText w:val=""/>
      <w:lvlJc w:val="left"/>
      <w:pPr>
        <w:ind w:left="720" w:hanging="360"/>
      </w:pPr>
      <w:rPr>
        <w:rFonts w:ascii="Wingdings" w:hAnsi="Wingdings" w:hint="default"/>
        <w:b w:val="0"/>
        <w:color w:val="548DD4" w:themeColor="text2" w:themeTint="99"/>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87D1B30"/>
    <w:multiLevelType w:val="hybridMultilevel"/>
    <w:tmpl w:val="9C167D4C"/>
    <w:lvl w:ilvl="0" w:tplc="954AA55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CCB86BD-76C7-4A6E-AFDB-DFFF0E3CBC20}"/>
    <w:docVar w:name="dgnword-eventsink" w:val="153421792"/>
  </w:docVars>
  <w:rsids>
    <w:rsidRoot w:val="00513322"/>
    <w:rsid w:val="00005A88"/>
    <w:rsid w:val="00033481"/>
    <w:rsid w:val="0003516F"/>
    <w:rsid w:val="0006475E"/>
    <w:rsid w:val="00067A17"/>
    <w:rsid w:val="0008579F"/>
    <w:rsid w:val="000A65F3"/>
    <w:rsid w:val="000C30F6"/>
    <w:rsid w:val="000C3D02"/>
    <w:rsid w:val="000D6D3F"/>
    <w:rsid w:val="000F019F"/>
    <w:rsid w:val="00117578"/>
    <w:rsid w:val="00130585"/>
    <w:rsid w:val="0014406B"/>
    <w:rsid w:val="00166388"/>
    <w:rsid w:val="00175BE9"/>
    <w:rsid w:val="001C59D5"/>
    <w:rsid w:val="001C7A65"/>
    <w:rsid w:val="00221C69"/>
    <w:rsid w:val="00250AE5"/>
    <w:rsid w:val="0026351F"/>
    <w:rsid w:val="00272155"/>
    <w:rsid w:val="00296567"/>
    <w:rsid w:val="002A0E15"/>
    <w:rsid w:val="002A37F9"/>
    <w:rsid w:val="002E0B6E"/>
    <w:rsid w:val="002E2000"/>
    <w:rsid w:val="002F2325"/>
    <w:rsid w:val="0031013E"/>
    <w:rsid w:val="00331A90"/>
    <w:rsid w:val="0037242E"/>
    <w:rsid w:val="00416F1E"/>
    <w:rsid w:val="00441309"/>
    <w:rsid w:val="00503514"/>
    <w:rsid w:val="00513322"/>
    <w:rsid w:val="00550A98"/>
    <w:rsid w:val="0057559A"/>
    <w:rsid w:val="00575F82"/>
    <w:rsid w:val="005A0AA7"/>
    <w:rsid w:val="005A3E8C"/>
    <w:rsid w:val="005D417D"/>
    <w:rsid w:val="005E36E8"/>
    <w:rsid w:val="005E6421"/>
    <w:rsid w:val="005E6F65"/>
    <w:rsid w:val="006115D9"/>
    <w:rsid w:val="00624888"/>
    <w:rsid w:val="006B5FFC"/>
    <w:rsid w:val="006C301B"/>
    <w:rsid w:val="006F4487"/>
    <w:rsid w:val="007471FE"/>
    <w:rsid w:val="0078268A"/>
    <w:rsid w:val="00784B0F"/>
    <w:rsid w:val="007D4752"/>
    <w:rsid w:val="007E660E"/>
    <w:rsid w:val="0080725C"/>
    <w:rsid w:val="00823D09"/>
    <w:rsid w:val="008627A5"/>
    <w:rsid w:val="00865D1A"/>
    <w:rsid w:val="00876CBE"/>
    <w:rsid w:val="00891950"/>
    <w:rsid w:val="008928B4"/>
    <w:rsid w:val="008930D4"/>
    <w:rsid w:val="008A2646"/>
    <w:rsid w:val="008F4694"/>
    <w:rsid w:val="00953A91"/>
    <w:rsid w:val="00984F7D"/>
    <w:rsid w:val="009A10BD"/>
    <w:rsid w:val="009A27F1"/>
    <w:rsid w:val="009B04C3"/>
    <w:rsid w:val="009C3618"/>
    <w:rsid w:val="009F52F6"/>
    <w:rsid w:val="00A04E4F"/>
    <w:rsid w:val="00A1556C"/>
    <w:rsid w:val="00A35E18"/>
    <w:rsid w:val="00A44721"/>
    <w:rsid w:val="00A458C1"/>
    <w:rsid w:val="00A66B7F"/>
    <w:rsid w:val="00AB7182"/>
    <w:rsid w:val="00B12BCA"/>
    <w:rsid w:val="00B26A38"/>
    <w:rsid w:val="00B53CDE"/>
    <w:rsid w:val="00B5447E"/>
    <w:rsid w:val="00B905AB"/>
    <w:rsid w:val="00B9225F"/>
    <w:rsid w:val="00BB56DD"/>
    <w:rsid w:val="00BB580E"/>
    <w:rsid w:val="00BD10A0"/>
    <w:rsid w:val="00BF59C9"/>
    <w:rsid w:val="00C2663B"/>
    <w:rsid w:val="00C343DC"/>
    <w:rsid w:val="00C37AF1"/>
    <w:rsid w:val="00C46131"/>
    <w:rsid w:val="00C576C2"/>
    <w:rsid w:val="00C800BB"/>
    <w:rsid w:val="00C96EEF"/>
    <w:rsid w:val="00CA0546"/>
    <w:rsid w:val="00CA1A17"/>
    <w:rsid w:val="00CA2894"/>
    <w:rsid w:val="00CB524C"/>
    <w:rsid w:val="00CC2438"/>
    <w:rsid w:val="00CC2E62"/>
    <w:rsid w:val="00CC67B2"/>
    <w:rsid w:val="00CE17B1"/>
    <w:rsid w:val="00CF383E"/>
    <w:rsid w:val="00D0769B"/>
    <w:rsid w:val="00D237B4"/>
    <w:rsid w:val="00D71EE8"/>
    <w:rsid w:val="00D77054"/>
    <w:rsid w:val="00D8502B"/>
    <w:rsid w:val="00DB6735"/>
    <w:rsid w:val="00DF6C45"/>
    <w:rsid w:val="00E021A4"/>
    <w:rsid w:val="00E11D5B"/>
    <w:rsid w:val="00E521D9"/>
    <w:rsid w:val="00E81BE1"/>
    <w:rsid w:val="00E9040D"/>
    <w:rsid w:val="00EB104C"/>
    <w:rsid w:val="00F02686"/>
    <w:rsid w:val="00F93B56"/>
    <w:rsid w:val="00F9542C"/>
    <w:rsid w:val="00FA5523"/>
    <w:rsid w:val="00FC6A8F"/>
    <w:rsid w:val="00FF3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 w:type="paragraph" w:styleId="Notedebasdepage">
    <w:name w:val="footnote text"/>
    <w:basedOn w:val="Normal"/>
    <w:link w:val="NotedebasdepageCar"/>
    <w:uiPriority w:val="99"/>
    <w:unhideWhenUsed/>
    <w:rsid w:val="005E36E8"/>
    <w:pPr>
      <w:spacing w:after="0"/>
      <w:jc w:val="both"/>
    </w:pPr>
    <w:rPr>
      <w:rFonts w:eastAsiaTheme="minorEastAsia"/>
      <w:color w:val="000000" w:themeColor="text1"/>
      <w:sz w:val="20"/>
      <w:szCs w:val="20"/>
      <w:lang w:val="en-US"/>
    </w:rPr>
  </w:style>
  <w:style w:type="character" w:customStyle="1" w:styleId="NotedebasdepageCar">
    <w:name w:val="Note de bas de page Car"/>
    <w:basedOn w:val="Policepardfaut"/>
    <w:link w:val="Notedebasdepage"/>
    <w:uiPriority w:val="99"/>
    <w:rsid w:val="005E36E8"/>
    <w:rPr>
      <w:rFonts w:eastAsiaTheme="minorEastAsia"/>
      <w:color w:val="000000" w:themeColor="text1"/>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 w:type="paragraph" w:styleId="Notedebasdepage">
    <w:name w:val="footnote text"/>
    <w:basedOn w:val="Normal"/>
    <w:link w:val="NotedebasdepageCar"/>
    <w:uiPriority w:val="99"/>
    <w:unhideWhenUsed/>
    <w:rsid w:val="005E36E8"/>
    <w:pPr>
      <w:spacing w:after="0"/>
      <w:jc w:val="both"/>
    </w:pPr>
    <w:rPr>
      <w:rFonts w:eastAsiaTheme="minorEastAsia"/>
      <w:color w:val="000000" w:themeColor="text1"/>
      <w:sz w:val="20"/>
      <w:szCs w:val="20"/>
      <w:lang w:val="en-US"/>
    </w:rPr>
  </w:style>
  <w:style w:type="character" w:customStyle="1" w:styleId="NotedebasdepageCar">
    <w:name w:val="Note de bas de page Car"/>
    <w:basedOn w:val="Policepardfaut"/>
    <w:link w:val="Notedebasdepage"/>
    <w:uiPriority w:val="99"/>
    <w:rsid w:val="005E36E8"/>
    <w:rPr>
      <w:rFonts w:eastAsiaTheme="minorEastAsia"/>
      <w:color w:val="000000" w:themeColor="tex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1195</Words>
  <Characters>6577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CHERMAT Sophie (DR-RHONA)</dc:creator>
  <cp:lastModifiedBy>SIMON Corinne (DR-RHONA)</cp:lastModifiedBy>
  <cp:revision>6</cp:revision>
  <cp:lastPrinted>2017-03-20T11:17:00Z</cp:lastPrinted>
  <dcterms:created xsi:type="dcterms:W3CDTF">2017-04-05T08:59:00Z</dcterms:created>
  <dcterms:modified xsi:type="dcterms:W3CDTF">2017-05-09T11:45:00Z</dcterms:modified>
</cp:coreProperties>
</file>