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N°</w:t>
      </w:r>
      <w:r w:rsidR="00AC3B35">
        <w:rPr>
          <w:b/>
          <w:sz w:val="24"/>
          <w:szCs w:val="24"/>
        </w:rPr>
        <w:t>2.4.2</w:t>
      </w:r>
    </w:p>
    <w:p w:rsidR="00A10993" w:rsidRDefault="00A10CCD" w:rsidP="00BF729D">
      <w:pPr>
        <w:spacing w:after="0" w:line="240" w:lineRule="auto"/>
        <w:jc w:val="center"/>
        <w:rPr>
          <w:b/>
          <w:color w:val="000000" w:themeColor="text1"/>
        </w:rPr>
      </w:pPr>
      <w:r>
        <w:rPr>
          <w:b/>
          <w:color w:val="000000" w:themeColor="text1"/>
        </w:rPr>
        <w:t>Créer une dynamique régionale pérenne en faveur de la performance globale des entreprises (</w:t>
      </w:r>
      <w:r w:rsidR="008B0FB1">
        <w:rPr>
          <w:b/>
          <w:color w:val="000000" w:themeColor="text1"/>
        </w:rPr>
        <w:t xml:space="preserve">Projet </w:t>
      </w:r>
      <w:proofErr w:type="spellStart"/>
      <w:r w:rsidR="008B0FB1">
        <w:rPr>
          <w:b/>
          <w:color w:val="000000" w:themeColor="text1"/>
        </w:rPr>
        <w:t>Élence</w:t>
      </w:r>
      <w:proofErr w:type="spellEnd"/>
      <w:r>
        <w:rPr>
          <w:b/>
          <w:color w:val="000000" w:themeColor="text1"/>
        </w:rPr>
        <w:t>)</w:t>
      </w:r>
    </w:p>
    <w:p w:rsidR="00A10CCD" w:rsidRPr="009A27F1" w:rsidRDefault="00A10CCD" w:rsidP="00BF729D">
      <w:pPr>
        <w:spacing w:after="0" w:line="240" w:lineRule="auto"/>
        <w:jc w:val="center"/>
        <w:rPr>
          <w:sz w:val="16"/>
        </w:rPr>
      </w:pPr>
    </w:p>
    <w:tbl>
      <w:tblPr>
        <w:tblStyle w:val="Grilledutableau"/>
        <w:tblW w:w="10740" w:type="dxa"/>
        <w:tblLook w:val="04A0" w:firstRow="1" w:lastRow="0" w:firstColumn="1" w:lastColumn="0" w:noHBand="0" w:noVBand="1"/>
      </w:tblPr>
      <w:tblGrid>
        <w:gridCol w:w="1809"/>
        <w:gridCol w:w="8931"/>
      </w:tblGrid>
      <w:tr w:rsidR="0083406E" w:rsidTr="0083406E">
        <w:trPr>
          <w:trHeight w:val="405"/>
        </w:trPr>
        <w:tc>
          <w:tcPr>
            <w:tcW w:w="1809" w:type="dxa"/>
            <w:vMerge w:val="restart"/>
            <w:shd w:val="clear" w:color="auto" w:fill="DBE5F1" w:themeFill="accent1" w:themeFillTint="33"/>
          </w:tcPr>
          <w:p w:rsidR="0083406E" w:rsidRPr="0026351F" w:rsidRDefault="0083406E" w:rsidP="00FA5523">
            <w:pPr>
              <w:jc w:val="both"/>
              <w:rPr>
                <w:b/>
                <w:sz w:val="20"/>
              </w:rPr>
            </w:pPr>
          </w:p>
          <w:p w:rsidR="0083406E" w:rsidRPr="0026351F" w:rsidRDefault="0083406E" w:rsidP="00FA5523">
            <w:pPr>
              <w:jc w:val="both"/>
              <w:rPr>
                <w:b/>
                <w:sz w:val="20"/>
              </w:rPr>
            </w:pPr>
            <w:r w:rsidRPr="0026351F">
              <w:rPr>
                <w:b/>
                <w:sz w:val="20"/>
              </w:rPr>
              <w:t>Référence du PST</w:t>
            </w:r>
          </w:p>
          <w:p w:rsidR="0083406E" w:rsidRPr="0026351F" w:rsidRDefault="0083406E" w:rsidP="00FA5523">
            <w:pPr>
              <w:jc w:val="both"/>
              <w:rPr>
                <w:b/>
                <w:sz w:val="20"/>
              </w:rPr>
            </w:pPr>
          </w:p>
        </w:tc>
        <w:tc>
          <w:tcPr>
            <w:tcW w:w="8931" w:type="dxa"/>
          </w:tcPr>
          <w:p w:rsidR="0083406E" w:rsidRPr="00575F82" w:rsidRDefault="0083406E" w:rsidP="008B0FB1">
            <w:pPr>
              <w:jc w:val="both"/>
              <w:rPr>
                <w:sz w:val="20"/>
                <w:szCs w:val="20"/>
              </w:rPr>
            </w:pPr>
            <w:r w:rsidRPr="008A0969">
              <w:rPr>
                <w:sz w:val="20"/>
                <w:szCs w:val="20"/>
              </w:rPr>
              <w:t>Axe 2</w:t>
            </w:r>
            <w:r w:rsidR="008A0969">
              <w:rPr>
                <w:sz w:val="20"/>
                <w:szCs w:val="20"/>
              </w:rPr>
              <w:t> :</w:t>
            </w:r>
            <w:r>
              <w:rPr>
                <w:sz w:val="20"/>
                <w:szCs w:val="20"/>
              </w:rPr>
              <w:t xml:space="preserve"> </w:t>
            </w:r>
            <w:r w:rsidRPr="008B0FB1">
              <w:rPr>
                <w:sz w:val="20"/>
                <w:szCs w:val="20"/>
              </w:rPr>
              <w:t>Améliorer la qualité de vie au travail, levier de santé, de maintien en emploi</w:t>
            </w:r>
            <w:r>
              <w:rPr>
                <w:sz w:val="20"/>
                <w:szCs w:val="20"/>
              </w:rPr>
              <w:t xml:space="preserve"> </w:t>
            </w:r>
            <w:r w:rsidRPr="008B0FB1">
              <w:rPr>
                <w:sz w:val="20"/>
                <w:szCs w:val="20"/>
              </w:rPr>
              <w:t>des travailleurs et de performance économique et sociale de l’entreprise</w:t>
            </w:r>
            <w:r>
              <w:rPr>
                <w:sz w:val="20"/>
                <w:szCs w:val="20"/>
              </w:rPr>
              <w:t xml:space="preserve"> </w:t>
            </w:r>
          </w:p>
        </w:tc>
      </w:tr>
      <w:tr w:rsidR="0083406E" w:rsidTr="00624888">
        <w:trPr>
          <w:trHeight w:val="405"/>
        </w:trPr>
        <w:tc>
          <w:tcPr>
            <w:tcW w:w="1809" w:type="dxa"/>
            <w:vMerge/>
            <w:shd w:val="clear" w:color="auto" w:fill="DBE5F1" w:themeFill="accent1" w:themeFillTint="33"/>
          </w:tcPr>
          <w:p w:rsidR="0083406E" w:rsidRPr="0026351F" w:rsidRDefault="0083406E" w:rsidP="00FA5523">
            <w:pPr>
              <w:jc w:val="both"/>
              <w:rPr>
                <w:b/>
                <w:sz w:val="20"/>
              </w:rPr>
            </w:pPr>
          </w:p>
        </w:tc>
        <w:tc>
          <w:tcPr>
            <w:tcW w:w="8931" w:type="dxa"/>
          </w:tcPr>
          <w:p w:rsidR="0083406E" w:rsidRPr="0083406E" w:rsidRDefault="0083406E" w:rsidP="008B0FB1">
            <w:pPr>
              <w:jc w:val="both"/>
              <w:rPr>
                <w:sz w:val="20"/>
                <w:szCs w:val="20"/>
              </w:rPr>
            </w:pPr>
            <w:r w:rsidRPr="008A0969">
              <w:rPr>
                <w:sz w:val="20"/>
                <w:szCs w:val="20"/>
              </w:rPr>
              <w:t>Objectif 4</w:t>
            </w:r>
            <w:r w:rsidRPr="00203531">
              <w:rPr>
                <w:b/>
                <w:sz w:val="20"/>
                <w:szCs w:val="20"/>
              </w:rPr>
              <w:t> :</w:t>
            </w:r>
            <w:r w:rsidR="008A0969">
              <w:rPr>
                <w:b/>
                <w:sz w:val="20"/>
                <w:szCs w:val="20"/>
              </w:rPr>
              <w:t xml:space="preserve"> </w:t>
            </w:r>
            <w:r>
              <w:rPr>
                <w:sz w:val="20"/>
                <w:szCs w:val="20"/>
              </w:rPr>
              <w:t>Qualité de vie au Travail</w:t>
            </w:r>
          </w:p>
        </w:tc>
      </w:tr>
      <w:tr w:rsidR="0083406E" w:rsidTr="00624888">
        <w:trPr>
          <w:trHeight w:val="405"/>
        </w:trPr>
        <w:tc>
          <w:tcPr>
            <w:tcW w:w="1809" w:type="dxa"/>
            <w:vMerge/>
            <w:shd w:val="clear" w:color="auto" w:fill="DBE5F1" w:themeFill="accent1" w:themeFillTint="33"/>
          </w:tcPr>
          <w:p w:rsidR="0083406E" w:rsidRPr="0026351F" w:rsidRDefault="0083406E" w:rsidP="00FA5523">
            <w:pPr>
              <w:jc w:val="both"/>
              <w:rPr>
                <w:b/>
                <w:sz w:val="20"/>
              </w:rPr>
            </w:pPr>
          </w:p>
        </w:tc>
        <w:tc>
          <w:tcPr>
            <w:tcW w:w="8931" w:type="dxa"/>
          </w:tcPr>
          <w:p w:rsidR="0083406E" w:rsidRPr="00203531" w:rsidRDefault="0083406E" w:rsidP="008B0FB1">
            <w:pPr>
              <w:jc w:val="both"/>
              <w:rPr>
                <w:b/>
                <w:sz w:val="20"/>
                <w:szCs w:val="20"/>
              </w:rPr>
            </w:pPr>
            <w:r w:rsidRPr="008A0969">
              <w:rPr>
                <w:sz w:val="20"/>
                <w:szCs w:val="20"/>
              </w:rPr>
              <w:t>Action 2.2</w:t>
            </w:r>
            <w:r w:rsidR="008A0969">
              <w:rPr>
                <w:sz w:val="20"/>
                <w:szCs w:val="20"/>
              </w:rPr>
              <w:t> :</w:t>
            </w:r>
            <w:r>
              <w:rPr>
                <w:sz w:val="20"/>
                <w:szCs w:val="20"/>
              </w:rPr>
              <w:t xml:space="preserve"> Offres de services : Promouvoir auprès de tous les acteurs de l’entreprise la QVT comme une démarche stratégique reposant sur le dialogue social et intégrant un volet QVT</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Pr="00A10CCD" w:rsidRDefault="0078268A" w:rsidP="00575F82">
            <w:pPr>
              <w:jc w:val="both"/>
              <w:rPr>
                <w:sz w:val="18"/>
                <w:szCs w:val="18"/>
              </w:rPr>
            </w:pP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8B0FB1" w:rsidRPr="00A10CCD" w:rsidRDefault="008B0FB1" w:rsidP="00A10CCD">
            <w:pPr>
              <w:jc w:val="both"/>
              <w:rPr>
                <w:sz w:val="20"/>
                <w:szCs w:val="20"/>
              </w:rPr>
            </w:pPr>
            <w:r w:rsidRPr="00A10CCD">
              <w:rPr>
                <w:sz w:val="20"/>
                <w:szCs w:val="20"/>
              </w:rPr>
              <w:t>Santé au travail Privas (07) ; APIST Tournon-Tain (07) ; Santé au Travail Haut Vivarais (07) ; AIPVR Santé au travail Valence Région (26) ; SIST Drôme Provençale (26/07) ; STDV Santé travail Drôme Vercors (26);  « Promotion</w:t>
            </w:r>
            <w:r w:rsidR="00A10CCD" w:rsidRPr="00A10CCD">
              <w:rPr>
                <w:sz w:val="20"/>
                <w:szCs w:val="20"/>
              </w:rPr>
              <w:t xml:space="preserve"> de la QVT et prévention des RPS</w:t>
            </w:r>
            <w:r w:rsidRPr="00A10CCD">
              <w:rPr>
                <w:sz w:val="20"/>
                <w:szCs w:val="20"/>
              </w:rPr>
              <w:t> »</w:t>
            </w:r>
          </w:p>
          <w:p w:rsidR="0078268A" w:rsidRPr="00575F82" w:rsidRDefault="0078268A" w:rsidP="00575F82">
            <w:pPr>
              <w:jc w:val="both"/>
              <w:rPr>
                <w:sz w:val="20"/>
                <w:szCs w:val="20"/>
              </w:rPr>
            </w:pP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117578" w:rsidTr="00624888">
        <w:tc>
          <w:tcPr>
            <w:tcW w:w="1242" w:type="dxa"/>
            <w:shd w:val="clear" w:color="auto" w:fill="DBE5F1" w:themeFill="accent1" w:themeFillTint="33"/>
          </w:tcPr>
          <w:p w:rsidR="009C687B" w:rsidRPr="0026351F" w:rsidRDefault="00A10CCD" w:rsidP="00CB524C">
            <w:pPr>
              <w:jc w:val="both"/>
              <w:rPr>
                <w:b/>
                <w:sz w:val="20"/>
              </w:rPr>
            </w:pPr>
            <w:r>
              <w:rPr>
                <w:b/>
                <w:sz w:val="20"/>
              </w:rPr>
              <w:t>Problème</w:t>
            </w:r>
          </w:p>
        </w:tc>
        <w:tc>
          <w:tcPr>
            <w:tcW w:w="9498" w:type="dxa"/>
          </w:tcPr>
          <w:p w:rsidR="00A10CCD" w:rsidRDefault="00A10CCD" w:rsidP="008E29E4">
            <w:pPr>
              <w:autoSpaceDE w:val="0"/>
              <w:autoSpaceDN w:val="0"/>
              <w:adjustRightInd w:val="0"/>
              <w:rPr>
                <w:rFonts w:cstheme="minorHAnsi"/>
                <w:sz w:val="20"/>
                <w:szCs w:val="20"/>
              </w:rPr>
            </w:pPr>
            <w:r>
              <w:rPr>
                <w:rFonts w:cstheme="minorHAnsi"/>
                <w:sz w:val="20"/>
                <w:szCs w:val="20"/>
              </w:rPr>
              <w:t xml:space="preserve">Le PST porte les orientations stratégiques suivantes : </w:t>
            </w:r>
          </w:p>
          <w:p w:rsidR="00A10CCD" w:rsidRDefault="00A10CCD" w:rsidP="00A10CCD">
            <w:pPr>
              <w:pStyle w:val="Paragraphedeliste"/>
              <w:numPr>
                <w:ilvl w:val="0"/>
                <w:numId w:val="12"/>
              </w:numPr>
              <w:autoSpaceDE w:val="0"/>
              <w:autoSpaceDN w:val="0"/>
              <w:adjustRightInd w:val="0"/>
              <w:rPr>
                <w:rFonts w:cstheme="minorHAnsi"/>
                <w:sz w:val="20"/>
                <w:szCs w:val="20"/>
              </w:rPr>
            </w:pPr>
            <w:r>
              <w:rPr>
                <w:rFonts w:cstheme="minorHAnsi"/>
                <w:sz w:val="20"/>
                <w:szCs w:val="20"/>
              </w:rPr>
              <w:t>La performance des entreprises ne peut se construire au détriment de la santé des salariés ; au contraire la santé est un levier de performance.</w:t>
            </w:r>
          </w:p>
          <w:p w:rsidR="00A10CCD" w:rsidRDefault="00A10CCD" w:rsidP="00A10CCD">
            <w:pPr>
              <w:pStyle w:val="Paragraphedeliste"/>
              <w:numPr>
                <w:ilvl w:val="0"/>
                <w:numId w:val="12"/>
              </w:numPr>
              <w:autoSpaceDE w:val="0"/>
              <w:autoSpaceDN w:val="0"/>
              <w:adjustRightInd w:val="0"/>
              <w:rPr>
                <w:rFonts w:cstheme="minorHAnsi"/>
                <w:sz w:val="20"/>
                <w:szCs w:val="20"/>
              </w:rPr>
            </w:pPr>
            <w:r>
              <w:rPr>
                <w:rFonts w:cstheme="minorHAnsi"/>
                <w:sz w:val="20"/>
                <w:szCs w:val="20"/>
              </w:rPr>
              <w:t>La santé est à définir au sens large, intégrant finalités et moyens : conditions de réalisation du travail, conditions de travail, sécurisation des parcours, gestion des pénibilités et des âges, qualité des collectifs, coopération, qualité du management, dialogue social.</w:t>
            </w:r>
          </w:p>
          <w:p w:rsidR="00A10CCD" w:rsidRPr="00A10CCD" w:rsidRDefault="00A10CCD" w:rsidP="00A10CCD">
            <w:pPr>
              <w:pStyle w:val="Paragraphedeliste"/>
              <w:numPr>
                <w:ilvl w:val="0"/>
                <w:numId w:val="12"/>
              </w:numPr>
              <w:autoSpaceDE w:val="0"/>
              <w:autoSpaceDN w:val="0"/>
              <w:adjustRightInd w:val="0"/>
              <w:rPr>
                <w:rFonts w:cstheme="minorHAnsi"/>
                <w:sz w:val="20"/>
                <w:szCs w:val="20"/>
              </w:rPr>
            </w:pPr>
            <w:r>
              <w:rPr>
                <w:rFonts w:cstheme="minorHAnsi"/>
                <w:sz w:val="20"/>
                <w:szCs w:val="20"/>
              </w:rPr>
              <w:t>L’intégration de la santé doit être effectuée dans une logique de prévention et non seulement de gestion des impacts.</w:t>
            </w:r>
          </w:p>
          <w:p w:rsidR="00A10CCD" w:rsidRDefault="00A10CCD" w:rsidP="008E29E4">
            <w:pPr>
              <w:autoSpaceDE w:val="0"/>
              <w:autoSpaceDN w:val="0"/>
              <w:adjustRightInd w:val="0"/>
              <w:rPr>
                <w:rFonts w:cstheme="minorHAnsi"/>
                <w:sz w:val="20"/>
                <w:szCs w:val="20"/>
              </w:rPr>
            </w:pPr>
            <w:r>
              <w:rPr>
                <w:rFonts w:cstheme="minorHAnsi"/>
                <w:sz w:val="20"/>
                <w:szCs w:val="20"/>
              </w:rPr>
              <w:t>La conduite des actions en entreprise doit donc s’appuyer sur différent</w:t>
            </w:r>
            <w:r w:rsidR="00812FB3">
              <w:rPr>
                <w:rFonts w:cstheme="minorHAnsi"/>
                <w:sz w:val="20"/>
                <w:szCs w:val="20"/>
              </w:rPr>
              <w:t>e</w:t>
            </w:r>
            <w:r>
              <w:rPr>
                <w:rFonts w:cstheme="minorHAnsi"/>
                <w:sz w:val="20"/>
                <w:szCs w:val="20"/>
              </w:rPr>
              <w:t>s formes de coopération entre l’ensemble des parties prenantes de l’entreprise : dialogue social (gestion participative de la performance permettant d’intégrer l’analyse du travail), coopération sur le travail (association de différents acteurs aux démarches pour articuler les dimensions économiques, de santé, de ressources humaines), dynamique sociale (association des partenaires sociaux</w:t>
            </w:r>
            <w:r w:rsidR="00812FB3">
              <w:rPr>
                <w:rFonts w:cstheme="minorHAnsi"/>
                <w:sz w:val="20"/>
                <w:szCs w:val="20"/>
              </w:rPr>
              <w:t>).</w:t>
            </w:r>
          </w:p>
          <w:p w:rsidR="00812FB3" w:rsidRDefault="00812FB3" w:rsidP="00812FB3">
            <w:pPr>
              <w:autoSpaceDE w:val="0"/>
              <w:autoSpaceDN w:val="0"/>
              <w:adjustRightInd w:val="0"/>
              <w:rPr>
                <w:rFonts w:cstheme="minorHAnsi"/>
                <w:sz w:val="20"/>
                <w:szCs w:val="20"/>
              </w:rPr>
            </w:pPr>
            <w:r>
              <w:rPr>
                <w:rFonts w:cstheme="minorHAnsi"/>
                <w:sz w:val="20"/>
                <w:szCs w:val="20"/>
              </w:rPr>
              <w:t>Si la santé, qualité de vie du travail et la performance globale (SQVTPG) apparaît aujourd’hui comme un facteur de développement durable de entreprises, son intégration dans les pratiques au sein des entreprises ne peut se décret ni se déployer par des normes et réglementations, ni seulement par la promotion de bonnes pratiques Il est nécessaire d’innover dans les méthodes, capitaliser et outiller les acteurs des entreprises, incorporer les nouveaux enjeux et les nouvelles pratiques dans les dispositifs d’accompagnement des entreprises.</w:t>
            </w:r>
          </w:p>
          <w:p w:rsidR="00DD78AB" w:rsidRPr="00A10CCD" w:rsidRDefault="00DD78AB" w:rsidP="00812FB3">
            <w:pPr>
              <w:autoSpaceDE w:val="0"/>
              <w:autoSpaceDN w:val="0"/>
              <w:adjustRightInd w:val="0"/>
              <w:rPr>
                <w:rFonts w:cstheme="minorHAnsi"/>
                <w:sz w:val="20"/>
                <w:szCs w:val="20"/>
              </w:rPr>
            </w:pP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8A2646" w:rsidRPr="004952BB" w:rsidRDefault="00C96EEF" w:rsidP="00CB524C">
            <w:pPr>
              <w:jc w:val="both"/>
              <w:rPr>
                <w:b/>
                <w:sz w:val="20"/>
              </w:rPr>
            </w:pPr>
            <w:r w:rsidRPr="0026351F">
              <w:rPr>
                <w:b/>
                <w:sz w:val="20"/>
              </w:rPr>
              <w:t>Objectif général</w:t>
            </w:r>
          </w:p>
        </w:tc>
        <w:tc>
          <w:tcPr>
            <w:tcW w:w="8931" w:type="dxa"/>
          </w:tcPr>
          <w:p w:rsidR="002571C0" w:rsidRPr="002023F6" w:rsidRDefault="00812FB3" w:rsidP="008B0FB1">
            <w:pPr>
              <w:jc w:val="both"/>
              <w:rPr>
                <w:color w:val="000000" w:themeColor="text1"/>
                <w:sz w:val="20"/>
              </w:rPr>
            </w:pPr>
            <w:r w:rsidRPr="002023F6">
              <w:rPr>
                <w:color w:val="000000" w:themeColor="text1"/>
                <w:sz w:val="20"/>
              </w:rPr>
              <w:t xml:space="preserve">Favoriser l’intégration de la SQVT PG dans les démarches de développement </w:t>
            </w:r>
            <w:r w:rsidR="002023F6" w:rsidRPr="002023F6">
              <w:rPr>
                <w:color w:val="000000" w:themeColor="text1"/>
                <w:sz w:val="20"/>
              </w:rPr>
              <w:t>organisationnel</w:t>
            </w:r>
            <w:r w:rsidRPr="002023F6">
              <w:rPr>
                <w:color w:val="000000" w:themeColor="text1"/>
                <w:sz w:val="20"/>
              </w:rPr>
              <w:t xml:space="preserve"> et économique de</w:t>
            </w:r>
            <w:r w:rsidR="002023F6">
              <w:rPr>
                <w:color w:val="000000" w:themeColor="text1"/>
                <w:sz w:val="20"/>
              </w:rPr>
              <w:t>s entreprises</w:t>
            </w:r>
          </w:p>
        </w:tc>
      </w:tr>
      <w:tr w:rsidR="008A2646" w:rsidTr="00624888">
        <w:trPr>
          <w:trHeight w:val="325"/>
        </w:trPr>
        <w:tc>
          <w:tcPr>
            <w:tcW w:w="1809" w:type="dxa"/>
            <w:vMerge w:val="restart"/>
            <w:shd w:val="clear" w:color="auto" w:fill="DBE5F1" w:themeFill="accent1" w:themeFillTint="33"/>
          </w:tcPr>
          <w:p w:rsidR="008A2646" w:rsidRPr="0026351F" w:rsidRDefault="008A2646" w:rsidP="00CB524C">
            <w:pPr>
              <w:jc w:val="both"/>
              <w:rPr>
                <w:b/>
                <w:sz w:val="20"/>
              </w:rPr>
            </w:pPr>
          </w:p>
          <w:p w:rsidR="008A2646" w:rsidRPr="0026351F" w:rsidRDefault="008A2646" w:rsidP="00CB524C">
            <w:pPr>
              <w:jc w:val="both"/>
              <w:rPr>
                <w:b/>
                <w:sz w:val="20"/>
              </w:rPr>
            </w:pPr>
            <w:r w:rsidRPr="0026351F">
              <w:rPr>
                <w:b/>
                <w:sz w:val="20"/>
              </w:rPr>
              <w:t>Objectifs spécifiques</w:t>
            </w:r>
          </w:p>
        </w:tc>
        <w:tc>
          <w:tcPr>
            <w:tcW w:w="8931" w:type="dxa"/>
          </w:tcPr>
          <w:p w:rsidR="00846556" w:rsidRPr="002023F6" w:rsidRDefault="00624888" w:rsidP="002023F6">
            <w:pPr>
              <w:jc w:val="both"/>
              <w:rPr>
                <w:color w:val="000000" w:themeColor="text1"/>
              </w:rPr>
            </w:pPr>
            <w:r w:rsidRPr="002023F6">
              <w:rPr>
                <w:color w:val="000000" w:themeColor="text1"/>
              </w:rPr>
              <w:t xml:space="preserve">I </w:t>
            </w:r>
            <w:r w:rsidR="002023F6" w:rsidRPr="002023F6">
              <w:rPr>
                <w:color w:val="000000" w:themeColor="text1"/>
              </w:rPr>
              <w:t>Professionnaliser et conduire une animation les écosystèmes des entreprises</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D5799A" w:rsidRPr="002023F6" w:rsidRDefault="00624888" w:rsidP="00575C67">
            <w:pPr>
              <w:rPr>
                <w:color w:val="000000" w:themeColor="text1"/>
              </w:rPr>
            </w:pPr>
            <w:r w:rsidRPr="002023F6">
              <w:rPr>
                <w:color w:val="000000" w:themeColor="text1"/>
              </w:rPr>
              <w:t>II</w:t>
            </w:r>
            <w:r w:rsidR="002023F6" w:rsidRPr="002023F6">
              <w:rPr>
                <w:color w:val="000000" w:themeColor="text1"/>
              </w:rPr>
              <w:t xml:space="preserve"> Favoriser la montée en compétences de acteurs de l’entreprise</w:t>
            </w:r>
            <w:r w:rsidR="002023F6">
              <w:rPr>
                <w:color w:val="000000" w:themeColor="text1"/>
              </w:rPr>
              <w:t xml:space="preserve"> en SQVTPG</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8A2646" w:rsidRPr="00B33890" w:rsidRDefault="00624888" w:rsidP="00F66CAC">
            <w:pPr>
              <w:jc w:val="both"/>
              <w:rPr>
                <w:color w:val="000000" w:themeColor="text1"/>
              </w:rPr>
            </w:pPr>
            <w:r w:rsidRPr="00B33890">
              <w:rPr>
                <w:color w:val="000000" w:themeColor="text1"/>
              </w:rPr>
              <w:t>II</w:t>
            </w:r>
            <w:r w:rsidR="00B33890">
              <w:rPr>
                <w:color w:val="000000" w:themeColor="text1"/>
              </w:rPr>
              <w:t>I</w:t>
            </w:r>
            <w:r w:rsidR="00521E9E">
              <w:rPr>
                <w:color w:val="000000" w:themeColor="text1"/>
              </w:rPr>
              <w:t xml:space="preserve"> </w:t>
            </w:r>
            <w:r w:rsidR="002023F6" w:rsidRPr="002023F6">
              <w:rPr>
                <w:color w:val="000000" w:themeColor="text1"/>
              </w:rPr>
              <w:t>Animer, professionnaliser et mettre en dynamique les acteurs du projet en vue d’une pérennisation et d’un déploiement de l’action</w:t>
            </w:r>
          </w:p>
        </w:tc>
      </w:tr>
    </w:tbl>
    <w:p w:rsidR="00BD5EBF" w:rsidRPr="009A27F1" w:rsidRDefault="00BD5EBF" w:rsidP="00BD5EBF">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BD5EBF" w:rsidRPr="0026351F" w:rsidTr="00BD5EBF">
        <w:tc>
          <w:tcPr>
            <w:tcW w:w="5920" w:type="dxa"/>
            <w:gridSpan w:val="2"/>
            <w:shd w:val="clear" w:color="auto" w:fill="FDE9D9" w:themeFill="accent6" w:themeFillTint="33"/>
          </w:tcPr>
          <w:p w:rsidR="00BD5EBF" w:rsidRPr="0026351F" w:rsidRDefault="00BD5EBF" w:rsidP="00BD5EBF">
            <w:pPr>
              <w:jc w:val="center"/>
              <w:rPr>
                <w:b/>
                <w:sz w:val="20"/>
                <w:szCs w:val="20"/>
              </w:rPr>
            </w:pPr>
            <w:r w:rsidRPr="0026351F">
              <w:rPr>
                <w:sz w:val="20"/>
                <w:szCs w:val="20"/>
              </w:rPr>
              <w:br w:type="page"/>
            </w:r>
            <w:r w:rsidRPr="0026351F">
              <w:rPr>
                <w:b/>
                <w:sz w:val="20"/>
                <w:szCs w:val="20"/>
              </w:rPr>
              <w:t>Thématiques concernées</w:t>
            </w:r>
          </w:p>
          <w:p w:rsidR="00BD5EBF" w:rsidRPr="0026351F" w:rsidRDefault="00BD5EBF" w:rsidP="00BD5EBF">
            <w:pPr>
              <w:jc w:val="center"/>
              <w:rPr>
                <w:sz w:val="20"/>
                <w:szCs w:val="20"/>
              </w:rPr>
            </w:pPr>
          </w:p>
        </w:tc>
        <w:tc>
          <w:tcPr>
            <w:tcW w:w="4762" w:type="dxa"/>
            <w:gridSpan w:val="2"/>
            <w:shd w:val="clear" w:color="auto" w:fill="FDE9D9" w:themeFill="accent6" w:themeFillTint="33"/>
          </w:tcPr>
          <w:p w:rsidR="00BD5EBF" w:rsidRPr="00A175A3" w:rsidRDefault="00BD5EBF" w:rsidP="00BD5EBF">
            <w:pPr>
              <w:jc w:val="center"/>
              <w:rPr>
                <w:b/>
                <w:sz w:val="20"/>
                <w:szCs w:val="20"/>
              </w:rPr>
            </w:pPr>
            <w:r w:rsidRPr="00A175A3">
              <w:rPr>
                <w:b/>
                <w:sz w:val="20"/>
                <w:szCs w:val="20"/>
              </w:rPr>
              <w:t>Type d’action ou de livrables</w:t>
            </w:r>
          </w:p>
          <w:p w:rsidR="00BD5EBF" w:rsidRPr="00A175A3" w:rsidRDefault="00BD5EBF" w:rsidP="00BD5EBF">
            <w:pPr>
              <w:jc w:val="center"/>
              <w:rPr>
                <w:b/>
                <w:sz w:val="20"/>
                <w:szCs w:val="20"/>
              </w:rPr>
            </w:pPr>
          </w:p>
        </w:tc>
      </w:tr>
      <w:tr w:rsidR="00BD5EBF" w:rsidRPr="0026351F" w:rsidTr="00BD5EBF">
        <w:tc>
          <w:tcPr>
            <w:tcW w:w="2943" w:type="dxa"/>
            <w:tcBorders>
              <w:bottom w:val="single" w:sz="4" w:space="0" w:color="auto"/>
            </w:tcBorders>
          </w:tcPr>
          <w:p w:rsidR="00BD5EBF" w:rsidRPr="0026351F" w:rsidRDefault="00BD5EBF" w:rsidP="00BD5EB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Evaluation des risques</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Formation/ information/ communication</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Usure professionnelle (TMS, équipements et lieux de travail)</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 xml:space="preserve">Chimique (dont amiante, CMR, </w:t>
            </w:r>
            <w:proofErr w:type="spellStart"/>
            <w:r w:rsidRPr="0026351F">
              <w:rPr>
                <w:rFonts w:ascii="Arial" w:hAnsi="Arial" w:cs="Arial"/>
                <w:sz w:val="18"/>
                <w:szCs w:val="20"/>
              </w:rPr>
              <w:t>polyexposition</w:t>
            </w:r>
            <w:r>
              <w:rPr>
                <w:rFonts w:ascii="Arial" w:hAnsi="Arial" w:cs="Arial"/>
                <w:sz w:val="18"/>
                <w:szCs w:val="20"/>
              </w:rPr>
              <w:t>s</w:t>
            </w:r>
            <w:proofErr w:type="spellEnd"/>
            <w:r w:rsidRPr="0026351F">
              <w:rPr>
                <w:rFonts w:ascii="Arial" w:hAnsi="Arial" w:cs="Arial"/>
                <w:sz w:val="18"/>
                <w:szCs w:val="20"/>
              </w:rPr>
              <w:t>, PE, nanomatériaux)</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 xml:space="preserve">  Offre de service TPE/PME</w:t>
            </w:r>
          </w:p>
          <w:p w:rsidR="00BD5EBF" w:rsidRPr="0026351F" w:rsidRDefault="00BD5EBF" w:rsidP="00BD5EB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 xml:space="preserve">  Connaissances/données</w:t>
            </w:r>
          </w:p>
        </w:tc>
        <w:tc>
          <w:tcPr>
            <w:tcW w:w="2977" w:type="dxa"/>
            <w:tcBorders>
              <w:bottom w:val="single" w:sz="4" w:space="0" w:color="auto"/>
            </w:tcBorders>
          </w:tcPr>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Chutes de hauteur (et plain-pied)</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RPS</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Risque routier</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QVT</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Maintien en emploi</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Santé travail/santé publique</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 xml:space="preserve">  Dialogue social</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 xml:space="preserve">Autres: </w:t>
            </w:r>
          </w:p>
        </w:tc>
        <w:tc>
          <w:tcPr>
            <w:tcW w:w="2410" w:type="dxa"/>
            <w:tcBorders>
              <w:bottom w:val="single" w:sz="4" w:space="0" w:color="auto"/>
            </w:tcBorders>
            <w:shd w:val="clear" w:color="auto" w:fill="auto"/>
          </w:tcPr>
          <w:p w:rsidR="00BD5EBF" w:rsidRPr="0026351F" w:rsidRDefault="00BD5EBF" w:rsidP="00BD5EB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Action collective</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Colloque</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Formation</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Elaboration de document</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Méthodologie d’intervention</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 xml:space="preserve">Autres : </w:t>
            </w:r>
          </w:p>
          <w:p w:rsidR="00BD5EBF" w:rsidRPr="0026351F" w:rsidRDefault="00BD5EBF" w:rsidP="00BD5EBF">
            <w:pPr>
              <w:jc w:val="both"/>
              <w:rPr>
                <w:b/>
                <w:sz w:val="18"/>
                <w:szCs w:val="20"/>
              </w:rPr>
            </w:pPr>
          </w:p>
        </w:tc>
        <w:tc>
          <w:tcPr>
            <w:tcW w:w="2352" w:type="dxa"/>
            <w:tcBorders>
              <w:bottom w:val="single" w:sz="4" w:space="0" w:color="auto"/>
            </w:tcBorders>
            <w:shd w:val="clear" w:color="auto" w:fill="auto"/>
          </w:tcPr>
          <w:p w:rsidR="00BD5EBF" w:rsidRPr="0026351F" w:rsidRDefault="00BD5EBF" w:rsidP="00BD5EB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Pr>
                <w:rFonts w:ascii="Arial" w:hAnsi="Arial" w:cs="Arial"/>
                <w:sz w:val="18"/>
                <w:szCs w:val="20"/>
              </w:rPr>
              <w:t xml:space="preserve"> </w:t>
            </w:r>
            <w:r w:rsidRPr="0026351F">
              <w:rPr>
                <w:rFonts w:ascii="Arial" w:hAnsi="Arial" w:cs="Arial"/>
                <w:sz w:val="18"/>
                <w:szCs w:val="20"/>
              </w:rPr>
              <w:t>Guide méthodologique</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Document d’information</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t>/sensibilisation</w:t>
            </w:r>
          </w:p>
          <w:p w:rsidR="00BD5EBF" w:rsidRPr="0026351F" w:rsidRDefault="00BD5EBF" w:rsidP="00BD5EB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Site internet</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Bases de données</w:t>
            </w:r>
          </w:p>
          <w:p w:rsidR="00BD5EBF" w:rsidRPr="0026351F" w:rsidRDefault="00BD5EBF" w:rsidP="00BD5EB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DVD</w:t>
            </w:r>
          </w:p>
          <w:p w:rsidR="00BD5EBF" w:rsidRPr="0026351F" w:rsidRDefault="00BD5EBF" w:rsidP="00BD5EBF">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 xml:space="preserve">Autres : </w:t>
            </w:r>
          </w:p>
        </w:tc>
      </w:tr>
    </w:tbl>
    <w:p w:rsidR="00BD5EBF" w:rsidRPr="009A27F1" w:rsidRDefault="00BD5EBF" w:rsidP="00BD5EBF">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BD5EBF" w:rsidRPr="0026351F" w:rsidTr="00BD5EBF">
        <w:trPr>
          <w:trHeight w:val="180"/>
        </w:trPr>
        <w:tc>
          <w:tcPr>
            <w:tcW w:w="10740" w:type="dxa"/>
            <w:gridSpan w:val="3"/>
            <w:shd w:val="clear" w:color="auto" w:fill="DBE5F1" w:themeFill="accent1" w:themeFillTint="33"/>
          </w:tcPr>
          <w:p w:rsidR="00BD5EBF" w:rsidRPr="00A175A3" w:rsidRDefault="00BD5EBF" w:rsidP="00BD5EBF">
            <w:pPr>
              <w:jc w:val="center"/>
              <w:rPr>
                <w:b/>
                <w:sz w:val="20"/>
                <w:szCs w:val="20"/>
              </w:rPr>
            </w:pPr>
            <w:r w:rsidRPr="00A175A3">
              <w:rPr>
                <w:b/>
                <w:sz w:val="20"/>
                <w:szCs w:val="20"/>
              </w:rPr>
              <w:t>Acteurs</w:t>
            </w:r>
          </w:p>
        </w:tc>
      </w:tr>
      <w:tr w:rsidR="00BD5EBF" w:rsidRPr="0026351F" w:rsidTr="00BD5EBF">
        <w:trPr>
          <w:trHeight w:val="180"/>
        </w:trPr>
        <w:tc>
          <w:tcPr>
            <w:tcW w:w="2400" w:type="dxa"/>
            <w:tcBorders>
              <w:bottom w:val="single" w:sz="4" w:space="0" w:color="auto"/>
            </w:tcBorders>
            <w:shd w:val="clear" w:color="auto" w:fill="DBE5F1" w:themeFill="accent1" w:themeFillTint="33"/>
          </w:tcPr>
          <w:p w:rsidR="00BD5EBF" w:rsidRPr="0026351F" w:rsidRDefault="00BD5EBF" w:rsidP="00BD5EBF">
            <w:pPr>
              <w:jc w:val="both"/>
              <w:rPr>
                <w:b/>
                <w:sz w:val="20"/>
                <w:szCs w:val="20"/>
              </w:rPr>
            </w:pPr>
            <w:r w:rsidRPr="0026351F">
              <w:rPr>
                <w:b/>
                <w:sz w:val="20"/>
                <w:szCs w:val="20"/>
              </w:rPr>
              <w:t>Pilote</w:t>
            </w:r>
          </w:p>
        </w:tc>
        <w:tc>
          <w:tcPr>
            <w:tcW w:w="4034" w:type="dxa"/>
          </w:tcPr>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DIRECCTE</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ARS</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CARSAT</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OPPBTP</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ARACT</w:t>
            </w:r>
          </w:p>
        </w:tc>
        <w:tc>
          <w:tcPr>
            <w:tcW w:w="4306" w:type="dxa"/>
          </w:tcPr>
          <w:p w:rsidR="00BD5EBF" w:rsidRPr="007F2A4E" w:rsidRDefault="00BD5EBF" w:rsidP="00BD5EBF">
            <w:pPr>
              <w:tabs>
                <w:tab w:val="left" w:pos="425"/>
              </w:tabs>
              <w:spacing w:before="60"/>
              <w:jc w:val="both"/>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Pr="007F2A4E">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7F2A4E">
              <w:rPr>
                <w:rFonts w:ascii="Arial" w:hAnsi="Arial" w:cs="Arial"/>
                <w:sz w:val="18"/>
                <w:szCs w:val="20"/>
              </w:rPr>
              <w:tab/>
              <w:t>MSA</w:t>
            </w:r>
          </w:p>
          <w:p w:rsidR="00BD5EBF" w:rsidRPr="0026351F" w:rsidRDefault="00E667E9" w:rsidP="00BD5EBF">
            <w:pPr>
              <w:tabs>
                <w:tab w:val="left" w:pos="425"/>
              </w:tabs>
              <w:spacing w:before="60"/>
              <w:jc w:val="both"/>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Pr="00463332">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00BD5EBF" w:rsidRPr="0026351F">
              <w:rPr>
                <w:rFonts w:ascii="Arial" w:hAnsi="Arial" w:cs="Arial"/>
                <w:sz w:val="18"/>
                <w:szCs w:val="20"/>
              </w:rPr>
              <w:tab/>
            </w:r>
            <w:r w:rsidR="00BD5EBF">
              <w:rPr>
                <w:rFonts w:ascii="Arial" w:hAnsi="Arial" w:cs="Arial"/>
                <w:sz w:val="18"/>
                <w:szCs w:val="20"/>
              </w:rPr>
              <w:t>SIST (à préciser)………………</w:t>
            </w:r>
          </w:p>
          <w:p w:rsidR="00BD5EBF" w:rsidRPr="0026351F" w:rsidRDefault="00E667E9" w:rsidP="00BD5EBF">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ab/>
              <w:t>A</w:t>
            </w:r>
            <w:r w:rsidR="00BD5EBF" w:rsidRPr="0026351F">
              <w:rPr>
                <w:rFonts w:ascii="Arial" w:hAnsi="Arial" w:cs="Arial"/>
                <w:sz w:val="18"/>
                <w:szCs w:val="20"/>
              </w:rPr>
              <w:t>utre (à préciser)……</w:t>
            </w:r>
            <w:r w:rsidR="00BD5EBF">
              <w:rPr>
                <w:rFonts w:ascii="Arial" w:hAnsi="Arial" w:cs="Arial"/>
                <w:sz w:val="18"/>
                <w:szCs w:val="20"/>
              </w:rPr>
              <w:t>Thésame</w:t>
            </w:r>
            <w:r w:rsidR="00BD5EBF" w:rsidRPr="0026351F">
              <w:rPr>
                <w:rFonts w:ascii="Arial" w:hAnsi="Arial" w:cs="Arial"/>
                <w:sz w:val="18"/>
                <w:szCs w:val="20"/>
              </w:rPr>
              <w:t>……</w:t>
            </w:r>
          </w:p>
          <w:p w:rsidR="00BD5EBF" w:rsidRPr="0026351F" w:rsidRDefault="00BD5EBF" w:rsidP="00BD5EBF">
            <w:pPr>
              <w:jc w:val="both"/>
              <w:rPr>
                <w:sz w:val="18"/>
                <w:szCs w:val="20"/>
              </w:rPr>
            </w:pPr>
          </w:p>
        </w:tc>
      </w:tr>
      <w:tr w:rsidR="00BD5EBF" w:rsidRPr="0026351F" w:rsidTr="00BD5EBF">
        <w:trPr>
          <w:trHeight w:val="180"/>
        </w:trPr>
        <w:tc>
          <w:tcPr>
            <w:tcW w:w="2400" w:type="dxa"/>
            <w:shd w:val="clear" w:color="auto" w:fill="DBE5F1" w:themeFill="accent1" w:themeFillTint="33"/>
          </w:tcPr>
          <w:p w:rsidR="00BD5EBF" w:rsidRDefault="00BD5EBF" w:rsidP="00BD5EBF">
            <w:pPr>
              <w:jc w:val="both"/>
              <w:rPr>
                <w:b/>
                <w:sz w:val="20"/>
                <w:szCs w:val="20"/>
              </w:rPr>
            </w:pPr>
            <w:r>
              <w:rPr>
                <w:b/>
                <w:sz w:val="20"/>
                <w:szCs w:val="20"/>
              </w:rPr>
              <w:lastRenderedPageBreak/>
              <w:t>Contributeurs</w:t>
            </w:r>
          </w:p>
          <w:p w:rsidR="00BD5EBF" w:rsidRPr="0026351F" w:rsidRDefault="00BD5EBF" w:rsidP="00BD5EBF">
            <w:pPr>
              <w:jc w:val="both"/>
              <w:rPr>
                <w:b/>
                <w:sz w:val="20"/>
                <w:szCs w:val="20"/>
              </w:rPr>
            </w:pPr>
          </w:p>
        </w:tc>
        <w:tc>
          <w:tcPr>
            <w:tcW w:w="4034" w:type="dxa"/>
          </w:tcPr>
          <w:p w:rsidR="00BD5EBF" w:rsidRPr="0026351F" w:rsidRDefault="00BD5EBF" w:rsidP="00BD5EBF">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bookmarkStart w:id="0" w:name="CaseACocher1"/>
            <w:r w:rsidRPr="00BA605E">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bookmarkEnd w:id="0"/>
            <w:r w:rsidRPr="0026351F">
              <w:rPr>
                <w:rFonts w:ascii="Arial" w:hAnsi="Arial" w:cs="Arial"/>
                <w:sz w:val="18"/>
                <w:szCs w:val="20"/>
                <w:lang w:val="en-US"/>
              </w:rPr>
              <w:tab/>
              <w:t>DIRECCTE</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OPPBTP</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ARS</w:t>
            </w:r>
          </w:p>
          <w:p w:rsidR="00BD5EBF" w:rsidRPr="0026351F" w:rsidRDefault="00BD5EBF" w:rsidP="00BD5EBF">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Pr="00BA605E">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lang w:val="en-US"/>
              </w:rPr>
              <w:tab/>
              <w:t>CARSA</w:t>
            </w:r>
            <w:r>
              <w:rPr>
                <w:rFonts w:ascii="Arial" w:hAnsi="Arial" w:cs="Arial"/>
                <w:sz w:val="18"/>
                <w:szCs w:val="20"/>
                <w:lang w:val="en-US"/>
              </w:rPr>
              <w:t>T</w:t>
            </w:r>
          </w:p>
          <w:p w:rsidR="00BD5EBF" w:rsidRPr="0026351F" w:rsidRDefault="00E667E9" w:rsidP="00BD5EBF">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Pr="00BA605E">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00BD5EBF" w:rsidRPr="0026351F">
              <w:rPr>
                <w:rFonts w:ascii="Arial" w:hAnsi="Arial" w:cs="Arial"/>
                <w:sz w:val="18"/>
                <w:szCs w:val="20"/>
                <w:lang w:val="en-US"/>
              </w:rPr>
              <w:tab/>
              <w:t>ARACT</w:t>
            </w:r>
          </w:p>
          <w:p w:rsidR="00BD5EBF" w:rsidRPr="0026351F"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lang w:val="en-US"/>
              </w:rPr>
              <w:tab/>
              <w:t>DREAL</w:t>
            </w:r>
          </w:p>
          <w:p w:rsidR="00BD5EBF" w:rsidRPr="00BA605E" w:rsidRDefault="00BD5EBF" w:rsidP="00BD5EBF">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Pr="00BA605E">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BA605E">
              <w:rPr>
                <w:rFonts w:ascii="Arial" w:hAnsi="Arial" w:cs="Arial"/>
                <w:sz w:val="18"/>
                <w:szCs w:val="20"/>
                <w:lang w:val="en-US"/>
              </w:rPr>
              <w:tab/>
              <w:t xml:space="preserve">SST : </w:t>
            </w:r>
            <w:r>
              <w:rPr>
                <w:rFonts w:ascii="Arial" w:hAnsi="Arial" w:cs="Arial"/>
                <w:sz w:val="18"/>
                <w:szCs w:val="20"/>
                <w:lang w:val="en-US"/>
              </w:rPr>
              <w:t>SIST BTP 69, SIST BTP 38, AGEMETRA</w:t>
            </w:r>
            <w:r w:rsidRPr="00BA605E">
              <w:rPr>
                <w:rFonts w:ascii="Arial" w:hAnsi="Arial" w:cs="Arial"/>
                <w:sz w:val="18"/>
                <w:szCs w:val="20"/>
                <w:lang w:val="en-US"/>
              </w:rPr>
              <w:t>, AIPVR</w:t>
            </w:r>
            <w:r>
              <w:rPr>
                <w:rFonts w:ascii="Arial" w:hAnsi="Arial" w:cs="Arial"/>
                <w:sz w:val="18"/>
                <w:szCs w:val="20"/>
                <w:lang w:val="en-US"/>
              </w:rPr>
              <w:t xml:space="preserve">, AIST 63, AIST 43, ACMIST 15, ST du </w:t>
            </w:r>
            <w:proofErr w:type="spellStart"/>
            <w:r>
              <w:rPr>
                <w:rFonts w:ascii="Arial" w:hAnsi="Arial" w:cs="Arial"/>
                <w:sz w:val="18"/>
                <w:szCs w:val="20"/>
                <w:lang w:val="en-US"/>
              </w:rPr>
              <w:t>Genevois</w:t>
            </w:r>
            <w:proofErr w:type="spellEnd"/>
            <w:r>
              <w:rPr>
                <w:rFonts w:ascii="Arial" w:hAnsi="Arial" w:cs="Arial"/>
                <w:sz w:val="18"/>
                <w:szCs w:val="20"/>
                <w:lang w:val="en-US"/>
              </w:rPr>
              <w:t>, SSTA Michelin</w:t>
            </w:r>
          </w:p>
          <w:p w:rsidR="00BD5EBF" w:rsidRPr="00BA605E" w:rsidRDefault="00BD5EBF" w:rsidP="00BD5EBF">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Pr="00BA605E">
              <w:rPr>
                <w:rFonts w:ascii="Arial" w:hAnsi="Arial" w:cs="Arial"/>
                <w:sz w:val="18"/>
                <w:szCs w:val="20"/>
                <w:lang w:val="en-US"/>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BA605E">
              <w:rPr>
                <w:rFonts w:ascii="Arial" w:hAnsi="Arial" w:cs="Arial"/>
                <w:sz w:val="18"/>
                <w:szCs w:val="20"/>
                <w:lang w:val="en-US"/>
              </w:rPr>
              <w:tab/>
              <w:t>MSA</w:t>
            </w:r>
          </w:p>
        </w:tc>
        <w:tc>
          <w:tcPr>
            <w:tcW w:w="4306" w:type="dxa"/>
          </w:tcPr>
          <w:p w:rsidR="00BD5EBF" w:rsidRPr="0026351F" w:rsidRDefault="00BD5EBF" w:rsidP="00BD5EBF">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FRSEA</w:t>
            </w:r>
          </w:p>
          <w:p w:rsidR="00BD5EBF" w:rsidRPr="0026351F" w:rsidRDefault="00BD5EBF" w:rsidP="00BD5EBF">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RSI</w:t>
            </w:r>
          </w:p>
          <w:p w:rsidR="00BD5EBF" w:rsidRPr="0026351F" w:rsidRDefault="00BD5EBF" w:rsidP="00BD5EBF">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Pr="0026351F">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sidRPr="0026351F">
              <w:rPr>
                <w:rFonts w:ascii="Arial" w:hAnsi="Arial" w:cs="Arial"/>
                <w:sz w:val="18"/>
                <w:szCs w:val="20"/>
              </w:rPr>
              <w:fldChar w:fldCharType="end"/>
            </w:r>
            <w:r w:rsidRPr="0026351F">
              <w:rPr>
                <w:rFonts w:ascii="Arial" w:hAnsi="Arial" w:cs="Arial"/>
                <w:sz w:val="18"/>
                <w:szCs w:val="20"/>
              </w:rPr>
              <w:tab/>
              <w:t>DRAAF</w:t>
            </w:r>
          </w:p>
          <w:p w:rsidR="00BD5EBF" w:rsidRPr="0026351F" w:rsidRDefault="00BD5EBF" w:rsidP="00BD5EBF">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Pr="0026351F">
              <w:rPr>
                <w:rFonts w:ascii="Arial" w:hAnsi="Arial" w:cs="Arial"/>
                <w:sz w:val="18"/>
                <w:szCs w:val="20"/>
              </w:rPr>
              <w:tab/>
              <w:t>Fédération professionnelle</w:t>
            </w:r>
            <w:r>
              <w:rPr>
                <w:rFonts w:ascii="Arial" w:hAnsi="Arial" w:cs="Arial"/>
                <w:sz w:val="18"/>
                <w:szCs w:val="20"/>
              </w:rPr>
              <w:t xml:space="preserve"> : </w:t>
            </w:r>
          </w:p>
          <w:p w:rsidR="00BD5EBF" w:rsidRPr="0026351F" w:rsidRDefault="00E667E9" w:rsidP="00BD5EBF">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sidR="00BD5EBF" w:rsidRPr="0026351F">
              <w:rPr>
                <w:rFonts w:ascii="Arial" w:hAnsi="Arial" w:cs="Arial"/>
                <w:sz w:val="18"/>
                <w:szCs w:val="20"/>
              </w:rPr>
              <w:tab/>
              <w:t>Organisation syndicale de salariés (préciser le nom)</w:t>
            </w:r>
            <w:r>
              <w:rPr>
                <w:rFonts w:ascii="Arial" w:hAnsi="Arial" w:cs="Arial"/>
                <w:sz w:val="18"/>
                <w:szCs w:val="20"/>
              </w:rPr>
              <w:t> : CFE-CGC</w:t>
            </w:r>
          </w:p>
          <w:p w:rsidR="00BD5EBF" w:rsidRPr="00CA2894" w:rsidRDefault="00BD5EBF" w:rsidP="00BD5EBF">
            <w:pPr>
              <w:tabs>
                <w:tab w:val="left" w:pos="425"/>
              </w:tabs>
              <w:spacing w:before="60"/>
              <w:jc w:val="both"/>
              <w:rPr>
                <w:rFonts w:ascii="Arial" w:hAnsi="Arial" w:cs="Arial"/>
                <w:sz w:val="18"/>
                <w:szCs w:val="20"/>
                <w:lang w:val="en-GB"/>
              </w:rPr>
            </w:pPr>
            <w:r>
              <w:rPr>
                <w:rFonts w:ascii="Arial" w:hAnsi="Arial" w:cs="Arial"/>
                <w:sz w:val="18"/>
                <w:szCs w:val="20"/>
              </w:rPr>
              <w:fldChar w:fldCharType="begin">
                <w:ffData>
                  <w:name w:val=""/>
                  <w:enabled/>
                  <w:calcOnExit w:val="0"/>
                  <w:checkBox>
                    <w:sizeAuto/>
                    <w:default w:val="1"/>
                  </w:checkBox>
                </w:ffData>
              </w:fldChar>
            </w:r>
            <w:r>
              <w:rPr>
                <w:rFonts w:ascii="Arial" w:hAnsi="Arial" w:cs="Arial"/>
                <w:sz w:val="18"/>
                <w:szCs w:val="20"/>
              </w:rPr>
              <w:instrText xml:space="preserve"> FORMCHECKBOX </w:instrText>
            </w:r>
            <w:r w:rsidR="003E7745">
              <w:rPr>
                <w:rFonts w:ascii="Arial" w:hAnsi="Arial" w:cs="Arial"/>
                <w:sz w:val="18"/>
                <w:szCs w:val="20"/>
              </w:rPr>
            </w:r>
            <w:r w:rsidR="003E774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lang w:val="en-GB"/>
              </w:rPr>
              <w:tab/>
            </w:r>
            <w:proofErr w:type="spellStart"/>
            <w:r>
              <w:rPr>
                <w:rFonts w:ascii="Arial" w:hAnsi="Arial" w:cs="Arial"/>
                <w:sz w:val="18"/>
                <w:szCs w:val="20"/>
                <w:lang w:val="en-GB"/>
              </w:rPr>
              <w:t>Autres</w:t>
            </w:r>
            <w:proofErr w:type="spellEnd"/>
            <w:r>
              <w:rPr>
                <w:rFonts w:ascii="Arial" w:hAnsi="Arial" w:cs="Arial"/>
                <w:sz w:val="18"/>
                <w:szCs w:val="20"/>
                <w:lang w:val="en-GB"/>
              </w:rPr>
              <w:t xml:space="preserve"> : </w:t>
            </w:r>
            <w:proofErr w:type="spellStart"/>
            <w:r w:rsidR="00E667E9">
              <w:rPr>
                <w:rFonts w:ascii="Arial" w:hAnsi="Arial" w:cs="Arial"/>
                <w:sz w:val="18"/>
                <w:szCs w:val="20"/>
                <w:lang w:val="en-GB"/>
              </w:rPr>
              <w:t>Ecam</w:t>
            </w:r>
            <w:proofErr w:type="spellEnd"/>
            <w:r w:rsidR="00E667E9">
              <w:rPr>
                <w:rFonts w:ascii="Arial" w:hAnsi="Arial" w:cs="Arial"/>
                <w:sz w:val="18"/>
                <w:szCs w:val="20"/>
                <w:lang w:val="en-GB"/>
              </w:rPr>
              <w:t xml:space="preserve">, </w:t>
            </w:r>
            <w:proofErr w:type="spellStart"/>
            <w:r w:rsidR="00E667E9">
              <w:rPr>
                <w:rFonts w:ascii="Arial" w:hAnsi="Arial" w:cs="Arial"/>
                <w:sz w:val="18"/>
                <w:szCs w:val="20"/>
                <w:lang w:val="en-GB"/>
              </w:rPr>
              <w:t>Conseil</w:t>
            </w:r>
            <w:proofErr w:type="spellEnd"/>
            <w:r w:rsidR="00E667E9">
              <w:rPr>
                <w:rFonts w:ascii="Arial" w:hAnsi="Arial" w:cs="Arial"/>
                <w:sz w:val="18"/>
                <w:szCs w:val="20"/>
                <w:lang w:val="en-GB"/>
              </w:rPr>
              <w:t xml:space="preserve"> </w:t>
            </w:r>
            <w:proofErr w:type="spellStart"/>
            <w:r w:rsidR="00E667E9">
              <w:rPr>
                <w:rFonts w:ascii="Arial" w:hAnsi="Arial" w:cs="Arial"/>
                <w:sz w:val="18"/>
                <w:szCs w:val="20"/>
                <w:lang w:val="en-GB"/>
              </w:rPr>
              <w:t>régional</w:t>
            </w:r>
            <w:proofErr w:type="spellEnd"/>
          </w:p>
        </w:tc>
      </w:tr>
    </w:tbl>
    <w:p w:rsidR="00D5799A" w:rsidRDefault="00D5799A" w:rsidP="00953A91">
      <w:pPr>
        <w:spacing w:after="0" w:line="240" w:lineRule="auto"/>
        <w:jc w:val="both"/>
        <w:rPr>
          <w:sz w:val="16"/>
          <w:szCs w:val="10"/>
        </w:rPr>
      </w:pPr>
    </w:p>
    <w:tbl>
      <w:tblPr>
        <w:tblStyle w:val="Grilledutableau"/>
        <w:tblW w:w="11059" w:type="dxa"/>
        <w:tblLook w:val="04A0" w:firstRow="1" w:lastRow="0" w:firstColumn="1" w:lastColumn="0" w:noHBand="0" w:noVBand="1"/>
      </w:tblPr>
      <w:tblGrid>
        <w:gridCol w:w="2435"/>
        <w:gridCol w:w="1501"/>
        <w:gridCol w:w="3969"/>
        <w:gridCol w:w="1842"/>
        <w:gridCol w:w="1312"/>
      </w:tblGrid>
      <w:tr w:rsidR="009767AB" w:rsidRPr="009A27F1" w:rsidTr="009767AB">
        <w:tc>
          <w:tcPr>
            <w:tcW w:w="11059" w:type="dxa"/>
            <w:gridSpan w:val="5"/>
            <w:tcBorders>
              <w:bottom w:val="single" w:sz="4" w:space="0" w:color="auto"/>
            </w:tcBorders>
            <w:shd w:val="clear" w:color="auto" w:fill="DBE5F1" w:themeFill="accent1" w:themeFillTint="33"/>
          </w:tcPr>
          <w:p w:rsidR="00E3350F" w:rsidRPr="00E3350F" w:rsidRDefault="009767AB" w:rsidP="00E3350F">
            <w:pPr>
              <w:jc w:val="center"/>
              <w:rPr>
                <w:b/>
                <w:sz w:val="20"/>
                <w:szCs w:val="10"/>
              </w:rPr>
            </w:pPr>
            <w:r w:rsidRPr="00E3350F">
              <w:rPr>
                <w:b/>
                <w:sz w:val="16"/>
                <w:szCs w:val="10"/>
              </w:rPr>
              <w:br w:type="page"/>
            </w:r>
            <w:r w:rsidR="00E3350F" w:rsidRPr="00E3350F">
              <w:rPr>
                <w:b/>
                <w:sz w:val="20"/>
                <w:szCs w:val="10"/>
              </w:rPr>
              <w:t>Objectif spécifique I</w:t>
            </w:r>
          </w:p>
          <w:p w:rsidR="009767AB" w:rsidRPr="00E3350F" w:rsidRDefault="00E3350F" w:rsidP="00E3350F">
            <w:pPr>
              <w:jc w:val="center"/>
              <w:rPr>
                <w:b/>
                <w:color w:val="000000" w:themeColor="text1"/>
              </w:rPr>
            </w:pPr>
            <w:r w:rsidRPr="00E3350F">
              <w:rPr>
                <w:b/>
                <w:color w:val="000000" w:themeColor="text1"/>
              </w:rPr>
              <w:t>Professionnaliser et conduire une animation les écosystèmes des entreprises</w:t>
            </w:r>
          </w:p>
        </w:tc>
      </w:tr>
      <w:tr w:rsidR="009767AB" w:rsidRPr="00EB104C" w:rsidTr="009767AB">
        <w:tc>
          <w:tcPr>
            <w:tcW w:w="11059" w:type="dxa"/>
            <w:gridSpan w:val="5"/>
            <w:shd w:val="clear" w:color="auto" w:fill="FDE9D9" w:themeFill="accent6" w:themeFillTint="33"/>
          </w:tcPr>
          <w:p w:rsidR="009767AB" w:rsidRPr="00980274" w:rsidRDefault="009767AB" w:rsidP="00980274">
            <w:pPr>
              <w:jc w:val="center"/>
              <w:rPr>
                <w:b/>
                <w:sz w:val="20"/>
                <w:szCs w:val="10"/>
              </w:rPr>
            </w:pPr>
            <w:r w:rsidRPr="00EB104C">
              <w:rPr>
                <w:b/>
                <w:sz w:val="20"/>
                <w:szCs w:val="10"/>
              </w:rPr>
              <w:t>Description des activités</w:t>
            </w:r>
          </w:p>
        </w:tc>
      </w:tr>
      <w:tr w:rsidR="009767AB" w:rsidRPr="00CF383E" w:rsidTr="009767AB">
        <w:tc>
          <w:tcPr>
            <w:tcW w:w="2435" w:type="dxa"/>
            <w:shd w:val="clear" w:color="auto" w:fill="FDE9D9" w:themeFill="accent6" w:themeFillTint="33"/>
          </w:tcPr>
          <w:p w:rsidR="009767AB" w:rsidRPr="00CF383E" w:rsidRDefault="009767AB" w:rsidP="00CF383E">
            <w:pPr>
              <w:jc w:val="center"/>
              <w:rPr>
                <w:b/>
                <w:sz w:val="20"/>
                <w:szCs w:val="10"/>
              </w:rPr>
            </w:pPr>
            <w:r>
              <w:rPr>
                <w:b/>
                <w:sz w:val="20"/>
                <w:szCs w:val="10"/>
              </w:rPr>
              <w:t>Actions</w:t>
            </w:r>
          </w:p>
        </w:tc>
        <w:tc>
          <w:tcPr>
            <w:tcW w:w="1501" w:type="dxa"/>
            <w:shd w:val="clear" w:color="auto" w:fill="FDE9D9" w:themeFill="accent6" w:themeFillTint="33"/>
          </w:tcPr>
          <w:p w:rsidR="009767AB" w:rsidRPr="00CF383E" w:rsidRDefault="009767AB" w:rsidP="00CF383E">
            <w:pPr>
              <w:jc w:val="center"/>
              <w:rPr>
                <w:b/>
                <w:sz w:val="20"/>
                <w:szCs w:val="10"/>
              </w:rPr>
            </w:pPr>
            <w:r>
              <w:rPr>
                <w:b/>
                <w:sz w:val="20"/>
                <w:szCs w:val="10"/>
              </w:rPr>
              <w:t>Cibles</w:t>
            </w:r>
          </w:p>
        </w:tc>
        <w:tc>
          <w:tcPr>
            <w:tcW w:w="3969" w:type="dxa"/>
            <w:shd w:val="clear" w:color="auto" w:fill="FDE9D9" w:themeFill="accent6" w:themeFillTint="33"/>
          </w:tcPr>
          <w:p w:rsidR="009767AB" w:rsidRPr="00CF383E" w:rsidRDefault="009767AB" w:rsidP="00980274">
            <w:pPr>
              <w:jc w:val="center"/>
              <w:rPr>
                <w:b/>
                <w:sz w:val="20"/>
                <w:szCs w:val="10"/>
              </w:rPr>
            </w:pPr>
            <w:r w:rsidRPr="00CF383E">
              <w:rPr>
                <w:b/>
                <w:sz w:val="20"/>
                <w:szCs w:val="10"/>
              </w:rPr>
              <w:t>Méthodologie</w:t>
            </w:r>
          </w:p>
        </w:tc>
        <w:tc>
          <w:tcPr>
            <w:tcW w:w="1842" w:type="dxa"/>
            <w:shd w:val="clear" w:color="auto" w:fill="FDE9D9" w:themeFill="accent6" w:themeFillTint="33"/>
          </w:tcPr>
          <w:p w:rsidR="009767AB" w:rsidRPr="00CF383E" w:rsidRDefault="009767AB" w:rsidP="00CF383E">
            <w:pPr>
              <w:jc w:val="center"/>
              <w:rPr>
                <w:b/>
                <w:sz w:val="20"/>
                <w:szCs w:val="10"/>
              </w:rPr>
            </w:pPr>
            <w:r w:rsidRPr="00CF383E">
              <w:rPr>
                <w:b/>
                <w:sz w:val="20"/>
                <w:szCs w:val="10"/>
              </w:rPr>
              <w:t>Responsable</w:t>
            </w:r>
          </w:p>
        </w:tc>
        <w:tc>
          <w:tcPr>
            <w:tcW w:w="1312" w:type="dxa"/>
            <w:shd w:val="clear" w:color="auto" w:fill="FDE9D9" w:themeFill="accent6" w:themeFillTint="33"/>
          </w:tcPr>
          <w:p w:rsidR="009767AB" w:rsidRPr="00CF383E" w:rsidRDefault="009767AB" w:rsidP="000C762E">
            <w:pPr>
              <w:jc w:val="center"/>
              <w:rPr>
                <w:b/>
                <w:sz w:val="20"/>
                <w:szCs w:val="10"/>
              </w:rPr>
            </w:pPr>
            <w:r>
              <w:rPr>
                <w:b/>
                <w:sz w:val="20"/>
                <w:szCs w:val="10"/>
              </w:rPr>
              <w:t>Echéances</w:t>
            </w:r>
          </w:p>
        </w:tc>
      </w:tr>
      <w:tr w:rsidR="00980274" w:rsidRPr="009A27F1" w:rsidTr="009767AB">
        <w:trPr>
          <w:trHeight w:val="1547"/>
        </w:trPr>
        <w:tc>
          <w:tcPr>
            <w:tcW w:w="2435" w:type="dxa"/>
            <w:tcBorders>
              <w:bottom w:val="single" w:sz="4" w:space="0" w:color="auto"/>
            </w:tcBorders>
          </w:tcPr>
          <w:p w:rsidR="00980274" w:rsidRPr="00980274" w:rsidRDefault="00463332" w:rsidP="0016483E">
            <w:r>
              <w:rPr>
                <w:sz w:val="20"/>
                <w:szCs w:val="10"/>
              </w:rPr>
              <w:t xml:space="preserve">2.4.2.1 </w:t>
            </w:r>
            <w:r w:rsidR="00980274" w:rsidRPr="000C762E">
              <w:rPr>
                <w:sz w:val="20"/>
                <w:szCs w:val="10"/>
              </w:rPr>
              <w:t xml:space="preserve">Elaboration </w:t>
            </w:r>
            <w:r w:rsidR="00980274">
              <w:rPr>
                <w:sz w:val="20"/>
                <w:szCs w:val="10"/>
              </w:rPr>
              <w:t xml:space="preserve">d’outils </w:t>
            </w:r>
            <w:r w:rsidR="00980274" w:rsidRPr="000C762E">
              <w:rPr>
                <w:sz w:val="20"/>
                <w:szCs w:val="10"/>
              </w:rPr>
              <w:t>d’accompagnement tenant compte de la maturité de l’entreprise (outil/référentiel)</w:t>
            </w:r>
          </w:p>
        </w:tc>
        <w:tc>
          <w:tcPr>
            <w:tcW w:w="1501" w:type="dxa"/>
          </w:tcPr>
          <w:p w:rsidR="00980274" w:rsidRPr="00980274" w:rsidRDefault="00910B58" w:rsidP="009767AB">
            <w:pPr>
              <w:rPr>
                <w:sz w:val="20"/>
                <w:szCs w:val="10"/>
              </w:rPr>
            </w:pPr>
            <w:r w:rsidRPr="00980274">
              <w:rPr>
                <w:sz w:val="20"/>
                <w:szCs w:val="10"/>
              </w:rPr>
              <w:t>Panel d’entreprises recrutées pour le projet</w:t>
            </w:r>
          </w:p>
        </w:tc>
        <w:tc>
          <w:tcPr>
            <w:tcW w:w="3969" w:type="dxa"/>
          </w:tcPr>
          <w:p w:rsidR="00980274" w:rsidRPr="000C762E" w:rsidRDefault="00980274" w:rsidP="006D4614">
            <w:pPr>
              <w:rPr>
                <w:sz w:val="20"/>
                <w:szCs w:val="10"/>
              </w:rPr>
            </w:pPr>
            <w:r w:rsidRPr="006D4614">
              <w:rPr>
                <w:sz w:val="20"/>
                <w:szCs w:val="10"/>
              </w:rPr>
              <w:t>Recrutement de 40 entreprises</w:t>
            </w:r>
            <w:r w:rsidR="006D4614">
              <w:rPr>
                <w:sz w:val="20"/>
                <w:szCs w:val="10"/>
              </w:rPr>
              <w:t xml:space="preserve"> en fonction de leur degré de maturité dans les démarches SQVTPG</w:t>
            </w:r>
          </w:p>
        </w:tc>
        <w:tc>
          <w:tcPr>
            <w:tcW w:w="1842" w:type="dxa"/>
          </w:tcPr>
          <w:p w:rsidR="00980274" w:rsidRPr="00910B58" w:rsidRDefault="00980274" w:rsidP="00980274">
            <w:pPr>
              <w:rPr>
                <w:sz w:val="20"/>
                <w:szCs w:val="10"/>
              </w:rPr>
            </w:pPr>
            <w:r w:rsidRPr="00910B58">
              <w:rPr>
                <w:sz w:val="20"/>
                <w:szCs w:val="10"/>
              </w:rPr>
              <w:t>Thésame</w:t>
            </w:r>
          </w:p>
        </w:tc>
        <w:tc>
          <w:tcPr>
            <w:tcW w:w="1312" w:type="dxa"/>
            <w:vAlign w:val="center"/>
          </w:tcPr>
          <w:p w:rsidR="00980274" w:rsidRPr="00BD6F57" w:rsidRDefault="00910B58" w:rsidP="00BD6F57">
            <w:pPr>
              <w:jc w:val="center"/>
              <w:rPr>
                <w:sz w:val="20"/>
                <w:szCs w:val="10"/>
              </w:rPr>
            </w:pPr>
            <w:r>
              <w:rPr>
                <w:sz w:val="20"/>
                <w:szCs w:val="10"/>
              </w:rPr>
              <w:t>2017</w:t>
            </w:r>
          </w:p>
        </w:tc>
      </w:tr>
      <w:tr w:rsidR="00910B58" w:rsidRPr="009A27F1" w:rsidTr="009767AB">
        <w:tc>
          <w:tcPr>
            <w:tcW w:w="2435" w:type="dxa"/>
            <w:tcBorders>
              <w:bottom w:val="single" w:sz="4" w:space="0" w:color="auto"/>
            </w:tcBorders>
          </w:tcPr>
          <w:p w:rsidR="00910B58" w:rsidRPr="00980274" w:rsidRDefault="00463332" w:rsidP="00910B58">
            <w:pPr>
              <w:rPr>
                <w:sz w:val="20"/>
              </w:rPr>
            </w:pPr>
            <w:r>
              <w:rPr>
                <w:sz w:val="20"/>
              </w:rPr>
              <w:t xml:space="preserve">2.4.2.2 </w:t>
            </w:r>
            <w:r w:rsidR="00910B58" w:rsidRPr="00980274">
              <w:rPr>
                <w:sz w:val="20"/>
              </w:rPr>
              <w:t xml:space="preserve">Accompagnement d’entreprises dans des démarches de SQVTPG </w:t>
            </w:r>
          </w:p>
          <w:p w:rsidR="00910B58" w:rsidRPr="00980274" w:rsidRDefault="00910B58" w:rsidP="00910B58"/>
        </w:tc>
        <w:tc>
          <w:tcPr>
            <w:tcW w:w="1501" w:type="dxa"/>
            <w:tcBorders>
              <w:bottom w:val="single" w:sz="4" w:space="0" w:color="auto"/>
            </w:tcBorders>
          </w:tcPr>
          <w:p w:rsidR="00910B58" w:rsidRPr="00980274" w:rsidRDefault="00910B58" w:rsidP="00910B58">
            <w:pPr>
              <w:rPr>
                <w:sz w:val="20"/>
                <w:szCs w:val="10"/>
              </w:rPr>
            </w:pPr>
            <w:r w:rsidRPr="00980274">
              <w:rPr>
                <w:sz w:val="20"/>
                <w:szCs w:val="10"/>
              </w:rPr>
              <w:t>Panel d’entreprises recrutées pour le projet</w:t>
            </w:r>
          </w:p>
        </w:tc>
        <w:tc>
          <w:tcPr>
            <w:tcW w:w="3969" w:type="dxa"/>
            <w:tcBorders>
              <w:bottom w:val="single" w:sz="4" w:space="0" w:color="auto"/>
            </w:tcBorders>
          </w:tcPr>
          <w:p w:rsidR="00910B58" w:rsidRPr="00910B58" w:rsidRDefault="00910B58" w:rsidP="00910B58">
            <w:pPr>
              <w:rPr>
                <w:sz w:val="20"/>
                <w:szCs w:val="10"/>
              </w:rPr>
            </w:pPr>
            <w:r>
              <w:rPr>
                <w:sz w:val="20"/>
                <w:szCs w:val="10"/>
              </w:rPr>
              <w:t>Recrutement de 40 entreprises</w:t>
            </w:r>
          </w:p>
        </w:tc>
        <w:tc>
          <w:tcPr>
            <w:tcW w:w="1842" w:type="dxa"/>
            <w:tcBorders>
              <w:bottom w:val="single" w:sz="4" w:space="0" w:color="auto"/>
            </w:tcBorders>
          </w:tcPr>
          <w:p w:rsidR="00910B58" w:rsidRPr="00910B58" w:rsidRDefault="00910B58" w:rsidP="00910B58">
            <w:pPr>
              <w:rPr>
                <w:sz w:val="20"/>
                <w:szCs w:val="10"/>
              </w:rPr>
            </w:pPr>
            <w:r w:rsidRPr="00910B58">
              <w:rPr>
                <w:sz w:val="20"/>
                <w:szCs w:val="10"/>
              </w:rPr>
              <w:t>Thésame</w:t>
            </w:r>
          </w:p>
        </w:tc>
        <w:tc>
          <w:tcPr>
            <w:tcW w:w="1312" w:type="dxa"/>
            <w:tcBorders>
              <w:bottom w:val="single" w:sz="4" w:space="0" w:color="auto"/>
            </w:tcBorders>
          </w:tcPr>
          <w:p w:rsidR="00910B58" w:rsidRDefault="00910B58" w:rsidP="00910B58">
            <w:pPr>
              <w:jc w:val="center"/>
              <w:rPr>
                <w:sz w:val="20"/>
                <w:szCs w:val="10"/>
              </w:rPr>
            </w:pPr>
            <w:r>
              <w:rPr>
                <w:sz w:val="20"/>
                <w:szCs w:val="10"/>
              </w:rPr>
              <w:t>2017-2018</w:t>
            </w:r>
          </w:p>
        </w:tc>
      </w:tr>
      <w:tr w:rsidR="00910B58" w:rsidRPr="009A27F1" w:rsidTr="009767AB">
        <w:tc>
          <w:tcPr>
            <w:tcW w:w="2435" w:type="dxa"/>
            <w:tcBorders>
              <w:bottom w:val="single" w:sz="4" w:space="0" w:color="auto"/>
            </w:tcBorders>
          </w:tcPr>
          <w:p w:rsidR="00910B58" w:rsidRPr="00904855" w:rsidRDefault="00463332" w:rsidP="00910B58">
            <w:pPr>
              <w:rPr>
                <w:b/>
              </w:rPr>
            </w:pPr>
            <w:r>
              <w:rPr>
                <w:sz w:val="20"/>
                <w:szCs w:val="10"/>
              </w:rPr>
              <w:t xml:space="preserve">2.4.2.3 </w:t>
            </w:r>
            <w:r w:rsidR="00910B58" w:rsidRPr="000C762E">
              <w:rPr>
                <w:sz w:val="20"/>
                <w:szCs w:val="10"/>
              </w:rPr>
              <w:t xml:space="preserve">Expérimentation </w:t>
            </w:r>
            <w:r w:rsidR="00910B58">
              <w:rPr>
                <w:sz w:val="20"/>
                <w:szCs w:val="10"/>
              </w:rPr>
              <w:t>des outils</w:t>
            </w:r>
            <w:r w:rsidR="00910B58" w:rsidRPr="000C762E">
              <w:rPr>
                <w:sz w:val="20"/>
                <w:szCs w:val="10"/>
              </w:rPr>
              <w:t xml:space="preserve"> </w:t>
            </w:r>
            <w:r w:rsidR="00910B58">
              <w:rPr>
                <w:sz w:val="20"/>
                <w:szCs w:val="10"/>
              </w:rPr>
              <w:t>avec les entreprises recrutées</w:t>
            </w:r>
          </w:p>
        </w:tc>
        <w:tc>
          <w:tcPr>
            <w:tcW w:w="1501" w:type="dxa"/>
            <w:tcBorders>
              <w:bottom w:val="single" w:sz="4" w:space="0" w:color="auto"/>
            </w:tcBorders>
          </w:tcPr>
          <w:p w:rsidR="00910B58" w:rsidRPr="00980274" w:rsidRDefault="00910B58" w:rsidP="00910B58">
            <w:pPr>
              <w:rPr>
                <w:sz w:val="20"/>
                <w:szCs w:val="10"/>
              </w:rPr>
            </w:pPr>
            <w:r w:rsidRPr="00980274">
              <w:rPr>
                <w:sz w:val="20"/>
                <w:szCs w:val="10"/>
              </w:rPr>
              <w:t>Panel d’entreprises recrutées pour le projet</w:t>
            </w:r>
          </w:p>
        </w:tc>
        <w:tc>
          <w:tcPr>
            <w:tcW w:w="3969" w:type="dxa"/>
            <w:tcBorders>
              <w:bottom w:val="single" w:sz="4" w:space="0" w:color="auto"/>
            </w:tcBorders>
          </w:tcPr>
          <w:p w:rsidR="00910B58" w:rsidRDefault="00910B58" w:rsidP="00910B58">
            <w:pPr>
              <w:rPr>
                <w:sz w:val="20"/>
                <w:szCs w:val="10"/>
              </w:rPr>
            </w:pPr>
            <w:r>
              <w:rPr>
                <w:sz w:val="20"/>
                <w:szCs w:val="10"/>
              </w:rPr>
              <w:t>Rencontres</w:t>
            </w:r>
          </w:p>
          <w:p w:rsidR="00910B58" w:rsidRPr="00910B58" w:rsidRDefault="00910B58" w:rsidP="00910B58">
            <w:pPr>
              <w:rPr>
                <w:sz w:val="20"/>
                <w:szCs w:val="10"/>
              </w:rPr>
            </w:pPr>
            <w:r>
              <w:rPr>
                <w:sz w:val="20"/>
                <w:szCs w:val="10"/>
              </w:rPr>
              <w:t>Accompagnement individuel et collectif</w:t>
            </w:r>
          </w:p>
        </w:tc>
        <w:tc>
          <w:tcPr>
            <w:tcW w:w="1842" w:type="dxa"/>
            <w:tcBorders>
              <w:bottom w:val="single" w:sz="4" w:space="0" w:color="auto"/>
            </w:tcBorders>
          </w:tcPr>
          <w:p w:rsidR="00910B58" w:rsidRPr="00910B58" w:rsidRDefault="00910B58" w:rsidP="00910B58">
            <w:pPr>
              <w:rPr>
                <w:sz w:val="20"/>
                <w:szCs w:val="10"/>
              </w:rPr>
            </w:pPr>
            <w:r w:rsidRPr="00910B58">
              <w:rPr>
                <w:sz w:val="20"/>
                <w:szCs w:val="10"/>
              </w:rPr>
              <w:t>Thésame</w:t>
            </w:r>
          </w:p>
        </w:tc>
        <w:tc>
          <w:tcPr>
            <w:tcW w:w="1312" w:type="dxa"/>
            <w:tcBorders>
              <w:bottom w:val="single" w:sz="4" w:space="0" w:color="auto"/>
            </w:tcBorders>
          </w:tcPr>
          <w:p w:rsidR="00910B58" w:rsidRDefault="00910B58" w:rsidP="00910B58">
            <w:pPr>
              <w:jc w:val="center"/>
              <w:rPr>
                <w:sz w:val="20"/>
                <w:szCs w:val="10"/>
              </w:rPr>
            </w:pPr>
            <w:r>
              <w:rPr>
                <w:sz w:val="20"/>
                <w:szCs w:val="10"/>
              </w:rPr>
              <w:t>2018</w:t>
            </w:r>
          </w:p>
        </w:tc>
      </w:tr>
      <w:tr w:rsidR="00910B58" w:rsidRPr="009A27F1" w:rsidTr="009767AB">
        <w:tc>
          <w:tcPr>
            <w:tcW w:w="2435" w:type="dxa"/>
            <w:tcBorders>
              <w:bottom w:val="single" w:sz="4" w:space="0" w:color="auto"/>
            </w:tcBorders>
          </w:tcPr>
          <w:p w:rsidR="00910B58" w:rsidRPr="00910B58" w:rsidRDefault="00463332" w:rsidP="00910B58">
            <w:pPr>
              <w:rPr>
                <w:sz w:val="20"/>
                <w:szCs w:val="10"/>
              </w:rPr>
            </w:pPr>
            <w:r>
              <w:rPr>
                <w:sz w:val="20"/>
              </w:rPr>
              <w:t xml:space="preserve">2.4.2.4 </w:t>
            </w:r>
            <w:r w:rsidR="00910B58" w:rsidRPr="00910B58">
              <w:rPr>
                <w:sz w:val="20"/>
              </w:rPr>
              <w:t>Création d’un réseau de consultants ressource santé et performance de qualité pour accompagner les entrepr</w:t>
            </w:r>
            <w:r>
              <w:rPr>
                <w:sz w:val="20"/>
              </w:rPr>
              <w:t>ises dans leur démarche de SQVT</w:t>
            </w:r>
            <w:r w:rsidR="00910B58" w:rsidRPr="00910B58">
              <w:rPr>
                <w:sz w:val="20"/>
              </w:rPr>
              <w:t xml:space="preserve">PG </w:t>
            </w:r>
          </w:p>
        </w:tc>
        <w:tc>
          <w:tcPr>
            <w:tcW w:w="1501" w:type="dxa"/>
            <w:tcBorders>
              <w:bottom w:val="single" w:sz="4" w:space="0" w:color="auto"/>
            </w:tcBorders>
          </w:tcPr>
          <w:p w:rsidR="00910B58" w:rsidRPr="009767AB" w:rsidRDefault="00910B58" w:rsidP="00910B58">
            <w:pPr>
              <w:rPr>
                <w:sz w:val="20"/>
                <w:szCs w:val="10"/>
              </w:rPr>
            </w:pPr>
            <w:r>
              <w:rPr>
                <w:sz w:val="20"/>
                <w:szCs w:val="10"/>
              </w:rPr>
              <w:t>Consultants en organisation d’entreprise</w:t>
            </w:r>
          </w:p>
        </w:tc>
        <w:tc>
          <w:tcPr>
            <w:tcW w:w="3969" w:type="dxa"/>
            <w:tcBorders>
              <w:bottom w:val="single" w:sz="4" w:space="0" w:color="auto"/>
            </w:tcBorders>
          </w:tcPr>
          <w:p w:rsidR="00910B58" w:rsidRPr="00910B58" w:rsidRDefault="00910B58" w:rsidP="00910B58">
            <w:pPr>
              <w:rPr>
                <w:sz w:val="20"/>
                <w:szCs w:val="10"/>
              </w:rPr>
            </w:pPr>
            <w:r w:rsidRPr="00910B58">
              <w:rPr>
                <w:sz w:val="20"/>
                <w:szCs w:val="10"/>
              </w:rPr>
              <w:t>Définition des critères d’intégr</w:t>
            </w:r>
            <w:r>
              <w:rPr>
                <w:sz w:val="20"/>
                <w:szCs w:val="10"/>
              </w:rPr>
              <w:t>ation de consultants au réseau </w:t>
            </w:r>
          </w:p>
          <w:p w:rsidR="00910B58" w:rsidRPr="00910B58" w:rsidRDefault="00910B58" w:rsidP="00910B58">
            <w:pPr>
              <w:rPr>
                <w:sz w:val="20"/>
                <w:szCs w:val="10"/>
              </w:rPr>
            </w:pPr>
            <w:r w:rsidRPr="00910B58">
              <w:rPr>
                <w:sz w:val="20"/>
                <w:szCs w:val="10"/>
              </w:rPr>
              <w:t>Définition des modalités de suivi et mise en visib</w:t>
            </w:r>
            <w:r>
              <w:rPr>
                <w:sz w:val="20"/>
                <w:szCs w:val="10"/>
              </w:rPr>
              <w:t>ilité du réseau de consultants </w:t>
            </w:r>
          </w:p>
          <w:p w:rsidR="00910B58" w:rsidRPr="00910B58" w:rsidRDefault="00910B58" w:rsidP="00910B58">
            <w:pPr>
              <w:rPr>
                <w:sz w:val="20"/>
                <w:szCs w:val="10"/>
              </w:rPr>
            </w:pPr>
          </w:p>
        </w:tc>
        <w:tc>
          <w:tcPr>
            <w:tcW w:w="1842" w:type="dxa"/>
            <w:tcBorders>
              <w:bottom w:val="single" w:sz="4" w:space="0" w:color="auto"/>
            </w:tcBorders>
          </w:tcPr>
          <w:p w:rsidR="00910B58" w:rsidRPr="00910B58" w:rsidRDefault="00910B58" w:rsidP="00910B58">
            <w:pPr>
              <w:rPr>
                <w:sz w:val="20"/>
                <w:szCs w:val="10"/>
              </w:rPr>
            </w:pPr>
            <w:r w:rsidRPr="00910B58">
              <w:rPr>
                <w:sz w:val="20"/>
                <w:szCs w:val="10"/>
              </w:rPr>
              <w:t>Thésame</w:t>
            </w:r>
          </w:p>
        </w:tc>
        <w:tc>
          <w:tcPr>
            <w:tcW w:w="1312" w:type="dxa"/>
            <w:tcBorders>
              <w:bottom w:val="single" w:sz="4" w:space="0" w:color="auto"/>
            </w:tcBorders>
          </w:tcPr>
          <w:p w:rsidR="00910B58" w:rsidRPr="00BD6F57" w:rsidRDefault="00910B58" w:rsidP="00910B58">
            <w:pPr>
              <w:jc w:val="center"/>
              <w:rPr>
                <w:sz w:val="20"/>
                <w:szCs w:val="10"/>
              </w:rPr>
            </w:pPr>
            <w:r>
              <w:rPr>
                <w:sz w:val="20"/>
                <w:szCs w:val="10"/>
              </w:rPr>
              <w:t>2018</w:t>
            </w:r>
          </w:p>
        </w:tc>
      </w:tr>
      <w:tr w:rsidR="00910B58" w:rsidRPr="009A27F1" w:rsidTr="009767AB">
        <w:tc>
          <w:tcPr>
            <w:tcW w:w="2435" w:type="dxa"/>
            <w:tcBorders>
              <w:bottom w:val="single" w:sz="4" w:space="0" w:color="auto"/>
            </w:tcBorders>
          </w:tcPr>
          <w:p w:rsidR="00910B58" w:rsidRPr="00910B58" w:rsidRDefault="00463332" w:rsidP="00910B58">
            <w:pPr>
              <w:rPr>
                <w:sz w:val="20"/>
                <w:szCs w:val="10"/>
              </w:rPr>
            </w:pPr>
            <w:r>
              <w:rPr>
                <w:sz w:val="20"/>
              </w:rPr>
              <w:t xml:space="preserve">2.4.2.5 </w:t>
            </w:r>
            <w:r w:rsidR="00CF22D3">
              <w:rPr>
                <w:sz w:val="20"/>
              </w:rPr>
              <w:t>Constitution</w:t>
            </w:r>
            <w:r w:rsidR="00910B58" w:rsidRPr="00910B58">
              <w:rPr>
                <w:sz w:val="20"/>
              </w:rPr>
              <w:t xml:space="preserve"> d’une plateforme régionale d’échanges interacteurs </w:t>
            </w:r>
          </w:p>
        </w:tc>
        <w:tc>
          <w:tcPr>
            <w:tcW w:w="1501" w:type="dxa"/>
            <w:tcBorders>
              <w:bottom w:val="single" w:sz="4" w:space="0" w:color="auto"/>
            </w:tcBorders>
          </w:tcPr>
          <w:p w:rsidR="00910B58" w:rsidRPr="009767AB" w:rsidRDefault="00CF22D3" w:rsidP="00910B58">
            <w:pPr>
              <w:rPr>
                <w:i/>
                <w:sz w:val="20"/>
                <w:szCs w:val="10"/>
              </w:rPr>
            </w:pPr>
            <w:r>
              <w:rPr>
                <w:sz w:val="20"/>
              </w:rPr>
              <w:t>Représentants des salariés</w:t>
            </w:r>
            <w:r w:rsidRPr="00910B58">
              <w:rPr>
                <w:sz w:val="20"/>
              </w:rPr>
              <w:t>, dirigeant</w:t>
            </w:r>
            <w:r>
              <w:rPr>
                <w:sz w:val="20"/>
              </w:rPr>
              <w:t>s d’entreprises</w:t>
            </w:r>
            <w:r w:rsidRPr="00910B58">
              <w:rPr>
                <w:sz w:val="20"/>
              </w:rPr>
              <w:t>, manager</w:t>
            </w:r>
            <w:r>
              <w:rPr>
                <w:sz w:val="20"/>
              </w:rPr>
              <w:t>s</w:t>
            </w:r>
            <w:r w:rsidRPr="00910B58">
              <w:rPr>
                <w:sz w:val="20"/>
              </w:rPr>
              <w:t>, pilote</w:t>
            </w:r>
            <w:r>
              <w:rPr>
                <w:sz w:val="20"/>
              </w:rPr>
              <w:t>s</w:t>
            </w:r>
            <w:r w:rsidR="006D4614">
              <w:rPr>
                <w:sz w:val="20"/>
              </w:rPr>
              <w:t xml:space="preserve"> de la performance</w:t>
            </w:r>
            <w:r w:rsidRPr="00910B58">
              <w:rPr>
                <w:sz w:val="20"/>
              </w:rPr>
              <w:t xml:space="preserve">, </w:t>
            </w:r>
            <w:r>
              <w:rPr>
                <w:sz w:val="20"/>
              </w:rPr>
              <w:t>DRH</w:t>
            </w:r>
          </w:p>
        </w:tc>
        <w:tc>
          <w:tcPr>
            <w:tcW w:w="3969" w:type="dxa"/>
            <w:tcBorders>
              <w:bottom w:val="single" w:sz="4" w:space="0" w:color="auto"/>
            </w:tcBorders>
          </w:tcPr>
          <w:p w:rsidR="00910B58" w:rsidRPr="00CF22D3" w:rsidRDefault="00CF22D3" w:rsidP="00CF22D3">
            <w:pPr>
              <w:rPr>
                <w:sz w:val="20"/>
                <w:szCs w:val="10"/>
              </w:rPr>
            </w:pPr>
            <w:r w:rsidRPr="00CF22D3">
              <w:rPr>
                <w:sz w:val="20"/>
                <w:szCs w:val="10"/>
              </w:rPr>
              <w:t>Recrutement des participants à la plateforme</w:t>
            </w:r>
          </w:p>
        </w:tc>
        <w:tc>
          <w:tcPr>
            <w:tcW w:w="1842" w:type="dxa"/>
            <w:tcBorders>
              <w:bottom w:val="single" w:sz="4" w:space="0" w:color="auto"/>
            </w:tcBorders>
          </w:tcPr>
          <w:p w:rsidR="00910B58" w:rsidRPr="00910B58" w:rsidRDefault="00910B58" w:rsidP="00910B58">
            <w:pPr>
              <w:rPr>
                <w:sz w:val="20"/>
                <w:szCs w:val="10"/>
              </w:rPr>
            </w:pPr>
            <w:r w:rsidRPr="00910B58">
              <w:rPr>
                <w:sz w:val="20"/>
                <w:szCs w:val="10"/>
              </w:rPr>
              <w:t xml:space="preserve">Aract </w:t>
            </w:r>
          </w:p>
        </w:tc>
        <w:tc>
          <w:tcPr>
            <w:tcW w:w="1312" w:type="dxa"/>
            <w:tcBorders>
              <w:bottom w:val="single" w:sz="4" w:space="0" w:color="auto"/>
            </w:tcBorders>
          </w:tcPr>
          <w:p w:rsidR="00910B58" w:rsidRPr="00BD6F57" w:rsidRDefault="00910B58" w:rsidP="00910B58">
            <w:pPr>
              <w:jc w:val="center"/>
              <w:rPr>
                <w:sz w:val="20"/>
                <w:szCs w:val="10"/>
              </w:rPr>
            </w:pPr>
            <w:r>
              <w:rPr>
                <w:sz w:val="20"/>
                <w:szCs w:val="10"/>
              </w:rPr>
              <w:t>2017-2018</w:t>
            </w:r>
          </w:p>
        </w:tc>
      </w:tr>
      <w:tr w:rsidR="00CF22D3" w:rsidRPr="009A27F1" w:rsidTr="00CF22D3">
        <w:tc>
          <w:tcPr>
            <w:tcW w:w="2435" w:type="dxa"/>
            <w:shd w:val="clear" w:color="auto" w:fill="FFFFFF" w:themeFill="background1"/>
          </w:tcPr>
          <w:p w:rsidR="00CF22D3" w:rsidRPr="00CF22D3" w:rsidRDefault="00463332" w:rsidP="00CF22D3">
            <w:pPr>
              <w:jc w:val="both"/>
              <w:rPr>
                <w:sz w:val="20"/>
              </w:rPr>
            </w:pPr>
            <w:r>
              <w:rPr>
                <w:sz w:val="20"/>
                <w:szCs w:val="10"/>
              </w:rPr>
              <w:t xml:space="preserve">2.4.2.6 </w:t>
            </w:r>
            <w:r w:rsidR="00CF22D3" w:rsidRPr="000C762E">
              <w:rPr>
                <w:sz w:val="20"/>
                <w:szCs w:val="10"/>
              </w:rPr>
              <w:t>Organisation de cycle</w:t>
            </w:r>
            <w:r w:rsidR="00CF22D3">
              <w:rPr>
                <w:sz w:val="20"/>
                <w:szCs w:val="10"/>
              </w:rPr>
              <w:t>s</w:t>
            </w:r>
            <w:r w:rsidR="00CF22D3" w:rsidRPr="000C762E">
              <w:rPr>
                <w:sz w:val="20"/>
                <w:szCs w:val="10"/>
              </w:rPr>
              <w:t xml:space="preserve"> d’échanges inter-acteurs sur la Santé-qualité de vie au travail et performance globale</w:t>
            </w:r>
          </w:p>
        </w:tc>
        <w:tc>
          <w:tcPr>
            <w:tcW w:w="1501" w:type="dxa"/>
          </w:tcPr>
          <w:p w:rsidR="00CF22D3" w:rsidRPr="009767AB" w:rsidRDefault="00CF22D3" w:rsidP="003E7745">
            <w:pPr>
              <w:rPr>
                <w:i/>
                <w:sz w:val="20"/>
                <w:szCs w:val="10"/>
              </w:rPr>
            </w:pPr>
            <w:r>
              <w:rPr>
                <w:sz w:val="20"/>
              </w:rPr>
              <w:t>Représentants des salariés</w:t>
            </w:r>
            <w:r w:rsidRPr="00910B58">
              <w:rPr>
                <w:sz w:val="20"/>
              </w:rPr>
              <w:t>, dirigeant</w:t>
            </w:r>
            <w:r>
              <w:rPr>
                <w:sz w:val="20"/>
              </w:rPr>
              <w:t>s d’entreprises</w:t>
            </w:r>
            <w:r w:rsidRPr="00910B58">
              <w:rPr>
                <w:sz w:val="20"/>
              </w:rPr>
              <w:t>, manager</w:t>
            </w:r>
            <w:r>
              <w:rPr>
                <w:sz w:val="20"/>
              </w:rPr>
              <w:t>s</w:t>
            </w:r>
            <w:r w:rsidRPr="00910B58">
              <w:rPr>
                <w:sz w:val="20"/>
              </w:rPr>
              <w:t>, pilote</w:t>
            </w:r>
            <w:r>
              <w:rPr>
                <w:sz w:val="20"/>
              </w:rPr>
              <w:t>s</w:t>
            </w:r>
            <w:r w:rsidRPr="00910B58">
              <w:rPr>
                <w:sz w:val="20"/>
              </w:rPr>
              <w:t xml:space="preserve"> de la performance, </w:t>
            </w:r>
            <w:r>
              <w:rPr>
                <w:sz w:val="20"/>
              </w:rPr>
              <w:t>DRH</w:t>
            </w:r>
          </w:p>
        </w:tc>
        <w:tc>
          <w:tcPr>
            <w:tcW w:w="3969" w:type="dxa"/>
          </w:tcPr>
          <w:p w:rsidR="00CF22D3" w:rsidRDefault="00CF22D3" w:rsidP="00CF22D3">
            <w:pPr>
              <w:rPr>
                <w:sz w:val="20"/>
                <w:szCs w:val="10"/>
              </w:rPr>
            </w:pPr>
            <w:r>
              <w:rPr>
                <w:sz w:val="20"/>
                <w:szCs w:val="10"/>
              </w:rPr>
              <w:t>Sessions d’échanges</w:t>
            </w:r>
          </w:p>
        </w:tc>
        <w:tc>
          <w:tcPr>
            <w:tcW w:w="1842" w:type="dxa"/>
          </w:tcPr>
          <w:p w:rsidR="00CF22D3" w:rsidRDefault="00CF22D3" w:rsidP="00CF22D3">
            <w:pPr>
              <w:rPr>
                <w:sz w:val="20"/>
                <w:szCs w:val="10"/>
              </w:rPr>
            </w:pPr>
            <w:r w:rsidRPr="00910B58">
              <w:rPr>
                <w:sz w:val="20"/>
                <w:szCs w:val="10"/>
              </w:rPr>
              <w:t>Aract</w:t>
            </w:r>
          </w:p>
        </w:tc>
        <w:tc>
          <w:tcPr>
            <w:tcW w:w="1312" w:type="dxa"/>
          </w:tcPr>
          <w:p w:rsidR="00CF22D3" w:rsidRDefault="00CF22D3" w:rsidP="00CF22D3">
            <w:pPr>
              <w:rPr>
                <w:sz w:val="20"/>
                <w:szCs w:val="10"/>
              </w:rPr>
            </w:pPr>
            <w:r>
              <w:rPr>
                <w:sz w:val="20"/>
                <w:szCs w:val="10"/>
              </w:rPr>
              <w:t>2016-2018</w:t>
            </w:r>
          </w:p>
        </w:tc>
      </w:tr>
      <w:tr w:rsidR="00CF22D3" w:rsidRPr="009A27F1" w:rsidTr="00BD5EBF">
        <w:tc>
          <w:tcPr>
            <w:tcW w:w="2435" w:type="dxa"/>
            <w:shd w:val="clear" w:color="auto" w:fill="FDE9D9" w:themeFill="accent6" w:themeFillTint="33"/>
          </w:tcPr>
          <w:p w:rsidR="00CF22D3" w:rsidRPr="009A27F1" w:rsidRDefault="00CF22D3" w:rsidP="00CF22D3">
            <w:pPr>
              <w:jc w:val="both"/>
              <w:rPr>
                <w:sz w:val="20"/>
                <w:szCs w:val="10"/>
              </w:rPr>
            </w:pPr>
            <w:r>
              <w:rPr>
                <w:b/>
              </w:rPr>
              <w:t>Partenaires de l’action</w:t>
            </w:r>
          </w:p>
        </w:tc>
        <w:tc>
          <w:tcPr>
            <w:tcW w:w="8624" w:type="dxa"/>
            <w:gridSpan w:val="4"/>
          </w:tcPr>
          <w:p w:rsidR="00CF22D3" w:rsidRPr="003E7230" w:rsidRDefault="00CF22D3" w:rsidP="00CF22D3">
            <w:pPr>
              <w:rPr>
                <w:color w:val="000000" w:themeColor="text1"/>
                <w:sz w:val="20"/>
                <w:highlight w:val="lightGray"/>
              </w:rPr>
            </w:pPr>
            <w:proofErr w:type="spellStart"/>
            <w:r>
              <w:rPr>
                <w:sz w:val="20"/>
                <w:szCs w:val="10"/>
              </w:rPr>
              <w:t>Carsat</w:t>
            </w:r>
            <w:proofErr w:type="spellEnd"/>
            <w:r>
              <w:rPr>
                <w:sz w:val="20"/>
                <w:szCs w:val="10"/>
              </w:rPr>
              <w:t xml:space="preserve"> Rhône-Alpes, </w:t>
            </w:r>
            <w:proofErr w:type="spellStart"/>
            <w:r>
              <w:rPr>
                <w:sz w:val="20"/>
                <w:szCs w:val="10"/>
              </w:rPr>
              <w:t>Aract</w:t>
            </w:r>
            <w:proofErr w:type="spellEnd"/>
            <w:r>
              <w:rPr>
                <w:sz w:val="20"/>
                <w:szCs w:val="10"/>
              </w:rPr>
              <w:t xml:space="preserve">-Auvergne-Rhône-Alpes, </w:t>
            </w:r>
            <w:proofErr w:type="spellStart"/>
            <w:r>
              <w:rPr>
                <w:sz w:val="20"/>
                <w:szCs w:val="10"/>
              </w:rPr>
              <w:t>Ecam</w:t>
            </w:r>
            <w:proofErr w:type="spellEnd"/>
            <w:r>
              <w:rPr>
                <w:sz w:val="20"/>
                <w:szCs w:val="10"/>
              </w:rPr>
              <w:t>, Direccte Auvergne Rhône-Alpes, Région Auvergne –Rhône-Alpes</w:t>
            </w:r>
          </w:p>
        </w:tc>
      </w:tr>
    </w:tbl>
    <w:p w:rsidR="00D5799A" w:rsidRDefault="00D5799A">
      <w:pPr>
        <w:rPr>
          <w:sz w:val="16"/>
          <w:szCs w:val="10"/>
        </w:rPr>
      </w:pPr>
    </w:p>
    <w:tbl>
      <w:tblPr>
        <w:tblStyle w:val="Grilledutableau"/>
        <w:tblW w:w="10881" w:type="dxa"/>
        <w:tblLayout w:type="fixed"/>
        <w:tblLook w:val="04A0" w:firstRow="1" w:lastRow="0" w:firstColumn="1" w:lastColumn="0" w:noHBand="0" w:noVBand="1"/>
      </w:tblPr>
      <w:tblGrid>
        <w:gridCol w:w="534"/>
        <w:gridCol w:w="3543"/>
        <w:gridCol w:w="3969"/>
        <w:gridCol w:w="2835"/>
      </w:tblGrid>
      <w:tr w:rsidR="006D4614" w:rsidRPr="0066041B" w:rsidTr="006D4614">
        <w:tc>
          <w:tcPr>
            <w:tcW w:w="534" w:type="dxa"/>
            <w:vMerge w:val="restart"/>
            <w:shd w:val="clear" w:color="auto" w:fill="DBE5F1" w:themeFill="accent1" w:themeFillTint="33"/>
            <w:textDirection w:val="btLr"/>
          </w:tcPr>
          <w:p w:rsidR="006D4614" w:rsidRPr="0066041B" w:rsidRDefault="006D4614" w:rsidP="006D4614">
            <w:pPr>
              <w:ind w:left="113" w:right="113"/>
              <w:jc w:val="center"/>
              <w:rPr>
                <w:b/>
              </w:rPr>
            </w:pPr>
            <w:r>
              <w:rPr>
                <w:b/>
              </w:rPr>
              <w:lastRenderedPageBreak/>
              <w:t>Evaluation de l’action</w:t>
            </w:r>
          </w:p>
        </w:tc>
        <w:tc>
          <w:tcPr>
            <w:tcW w:w="3543" w:type="dxa"/>
            <w:shd w:val="clear" w:color="auto" w:fill="DBE5F1" w:themeFill="accent1" w:themeFillTint="33"/>
          </w:tcPr>
          <w:p w:rsidR="006D4614" w:rsidRPr="0066041B" w:rsidRDefault="006D4614" w:rsidP="00D9519A">
            <w:pPr>
              <w:jc w:val="center"/>
              <w:rPr>
                <w:b/>
              </w:rPr>
            </w:pPr>
            <w:r w:rsidRPr="0066041B">
              <w:rPr>
                <w:b/>
              </w:rPr>
              <w:t>Critères d’évaluation</w:t>
            </w:r>
          </w:p>
        </w:tc>
        <w:tc>
          <w:tcPr>
            <w:tcW w:w="3969" w:type="dxa"/>
            <w:shd w:val="clear" w:color="auto" w:fill="DBE5F1" w:themeFill="accent1" w:themeFillTint="33"/>
          </w:tcPr>
          <w:p w:rsidR="006D4614" w:rsidRPr="0066041B" w:rsidRDefault="006D4614" w:rsidP="00D9519A">
            <w:pPr>
              <w:jc w:val="center"/>
              <w:rPr>
                <w:b/>
                <w:i/>
              </w:rPr>
            </w:pPr>
            <w:r w:rsidRPr="0066041B">
              <w:rPr>
                <w:b/>
              </w:rPr>
              <w:t>Indicateurs</w:t>
            </w:r>
          </w:p>
        </w:tc>
        <w:tc>
          <w:tcPr>
            <w:tcW w:w="2835" w:type="dxa"/>
            <w:shd w:val="clear" w:color="auto" w:fill="DBE5F1" w:themeFill="accent1" w:themeFillTint="33"/>
          </w:tcPr>
          <w:p w:rsidR="006D4614" w:rsidRPr="0066041B" w:rsidRDefault="006D4614" w:rsidP="00D9519A">
            <w:pPr>
              <w:jc w:val="center"/>
              <w:rPr>
                <w:b/>
              </w:rPr>
            </w:pPr>
            <w:r w:rsidRPr="0066041B">
              <w:rPr>
                <w:b/>
              </w:rPr>
              <w:t>Source</w:t>
            </w:r>
          </w:p>
        </w:tc>
      </w:tr>
      <w:tr w:rsidR="006D4614" w:rsidRPr="0031013E" w:rsidTr="006D4614">
        <w:tc>
          <w:tcPr>
            <w:tcW w:w="534" w:type="dxa"/>
            <w:vMerge/>
          </w:tcPr>
          <w:p w:rsidR="006D4614" w:rsidRPr="00CB2B3D" w:rsidRDefault="006D4614" w:rsidP="00B71547">
            <w:pPr>
              <w:rPr>
                <w:sz w:val="20"/>
                <w:szCs w:val="10"/>
              </w:rPr>
            </w:pPr>
          </w:p>
        </w:tc>
        <w:tc>
          <w:tcPr>
            <w:tcW w:w="3543" w:type="dxa"/>
          </w:tcPr>
          <w:p w:rsidR="006D4614" w:rsidRPr="00CB2B3D" w:rsidRDefault="006D4614" w:rsidP="00B71547">
            <w:pPr>
              <w:rPr>
                <w:sz w:val="20"/>
                <w:szCs w:val="10"/>
              </w:rPr>
            </w:pPr>
            <w:r w:rsidRPr="00CB2B3D">
              <w:rPr>
                <w:sz w:val="20"/>
                <w:szCs w:val="10"/>
              </w:rPr>
              <w:t>Elabor</w:t>
            </w:r>
            <w:r>
              <w:rPr>
                <w:sz w:val="20"/>
                <w:szCs w:val="10"/>
              </w:rPr>
              <w:t>ation effe</w:t>
            </w:r>
            <w:r w:rsidRPr="00CB2B3D">
              <w:rPr>
                <w:sz w:val="20"/>
                <w:szCs w:val="10"/>
              </w:rPr>
              <w:t>ctive d’outils</w:t>
            </w:r>
            <w:r>
              <w:rPr>
                <w:sz w:val="20"/>
                <w:szCs w:val="10"/>
              </w:rPr>
              <w:t xml:space="preserve"> d’accompagnement des entreprises dans leur démarche de SQVT PG</w:t>
            </w:r>
          </w:p>
        </w:tc>
        <w:tc>
          <w:tcPr>
            <w:tcW w:w="3969" w:type="dxa"/>
          </w:tcPr>
          <w:p w:rsidR="006D4614" w:rsidRPr="00CB2B3D" w:rsidRDefault="006D4614" w:rsidP="00F83FE6">
            <w:pPr>
              <w:jc w:val="both"/>
              <w:rPr>
                <w:sz w:val="20"/>
                <w:szCs w:val="10"/>
              </w:rPr>
            </w:pPr>
            <w:r>
              <w:rPr>
                <w:sz w:val="20"/>
                <w:szCs w:val="10"/>
              </w:rPr>
              <w:t>Outils produits</w:t>
            </w:r>
          </w:p>
        </w:tc>
        <w:tc>
          <w:tcPr>
            <w:tcW w:w="2835" w:type="dxa"/>
          </w:tcPr>
          <w:p w:rsidR="006D4614" w:rsidRPr="00CB2B3D" w:rsidRDefault="006D4614" w:rsidP="00D9519A">
            <w:pPr>
              <w:jc w:val="both"/>
              <w:rPr>
                <w:sz w:val="20"/>
                <w:szCs w:val="10"/>
              </w:rPr>
            </w:pPr>
            <w:r>
              <w:rPr>
                <w:sz w:val="20"/>
                <w:szCs w:val="10"/>
              </w:rPr>
              <w:t>Documents de Thésame</w:t>
            </w:r>
          </w:p>
        </w:tc>
      </w:tr>
      <w:tr w:rsidR="006D4614" w:rsidRPr="0031013E" w:rsidTr="006D4614">
        <w:tc>
          <w:tcPr>
            <w:tcW w:w="534" w:type="dxa"/>
            <w:vMerge/>
          </w:tcPr>
          <w:p w:rsidR="006D4614" w:rsidRDefault="006D4614" w:rsidP="00F83FE6">
            <w:pPr>
              <w:rPr>
                <w:sz w:val="20"/>
              </w:rPr>
            </w:pPr>
          </w:p>
        </w:tc>
        <w:tc>
          <w:tcPr>
            <w:tcW w:w="3543" w:type="dxa"/>
          </w:tcPr>
          <w:p w:rsidR="006D4614" w:rsidRPr="00CB2B3D" w:rsidRDefault="006D4614" w:rsidP="00F83FE6">
            <w:pPr>
              <w:rPr>
                <w:sz w:val="20"/>
              </w:rPr>
            </w:pPr>
            <w:r>
              <w:rPr>
                <w:sz w:val="20"/>
              </w:rPr>
              <w:t>Panel d’entreprises accompagnées</w:t>
            </w:r>
          </w:p>
        </w:tc>
        <w:tc>
          <w:tcPr>
            <w:tcW w:w="3969" w:type="dxa"/>
          </w:tcPr>
          <w:p w:rsidR="006D4614" w:rsidRDefault="006D4614" w:rsidP="00F83FE6">
            <w:pPr>
              <w:jc w:val="both"/>
              <w:rPr>
                <w:sz w:val="20"/>
              </w:rPr>
            </w:pPr>
            <w:r>
              <w:rPr>
                <w:sz w:val="20"/>
              </w:rPr>
              <w:t>Nombre d’entreprises parties prenantes de l’action</w:t>
            </w:r>
          </w:p>
          <w:p w:rsidR="006D4614" w:rsidRPr="00CB2B3D" w:rsidRDefault="006D4614" w:rsidP="00F83FE6">
            <w:pPr>
              <w:jc w:val="both"/>
              <w:rPr>
                <w:sz w:val="20"/>
              </w:rPr>
            </w:pPr>
            <w:r>
              <w:rPr>
                <w:sz w:val="20"/>
              </w:rPr>
              <w:t>Secteurs professionnels concernés</w:t>
            </w:r>
          </w:p>
        </w:tc>
        <w:tc>
          <w:tcPr>
            <w:tcW w:w="2835" w:type="dxa"/>
          </w:tcPr>
          <w:p w:rsidR="006D4614" w:rsidRDefault="006D4614" w:rsidP="00D9519A">
            <w:pPr>
              <w:jc w:val="both"/>
              <w:rPr>
                <w:sz w:val="20"/>
              </w:rPr>
            </w:pPr>
            <w:r>
              <w:rPr>
                <w:sz w:val="20"/>
              </w:rPr>
              <w:t>Listes fournies par Thésame</w:t>
            </w:r>
          </w:p>
          <w:p w:rsidR="006D4614" w:rsidRPr="00CB2B3D" w:rsidRDefault="006D4614" w:rsidP="00D9519A">
            <w:pPr>
              <w:jc w:val="both"/>
              <w:rPr>
                <w:sz w:val="20"/>
              </w:rPr>
            </w:pPr>
            <w:r>
              <w:rPr>
                <w:sz w:val="20"/>
              </w:rPr>
              <w:t>Feuilles d’émargement aux rencontres</w:t>
            </w:r>
          </w:p>
        </w:tc>
      </w:tr>
      <w:tr w:rsidR="006D4614" w:rsidRPr="0031013E" w:rsidTr="006D4614">
        <w:tc>
          <w:tcPr>
            <w:tcW w:w="534" w:type="dxa"/>
            <w:vMerge/>
          </w:tcPr>
          <w:p w:rsidR="006D4614" w:rsidRDefault="006D4614" w:rsidP="00F83FE6">
            <w:pPr>
              <w:rPr>
                <w:sz w:val="20"/>
              </w:rPr>
            </w:pPr>
          </w:p>
        </w:tc>
        <w:tc>
          <w:tcPr>
            <w:tcW w:w="3543" w:type="dxa"/>
          </w:tcPr>
          <w:p w:rsidR="006D4614" w:rsidRPr="00CB2B3D" w:rsidRDefault="006D4614" w:rsidP="00F83FE6">
            <w:pPr>
              <w:rPr>
                <w:sz w:val="20"/>
              </w:rPr>
            </w:pPr>
            <w:r>
              <w:rPr>
                <w:sz w:val="20"/>
              </w:rPr>
              <w:t>Expérimentation effective des outils d’accompagnement</w:t>
            </w:r>
          </w:p>
        </w:tc>
        <w:tc>
          <w:tcPr>
            <w:tcW w:w="3969" w:type="dxa"/>
          </w:tcPr>
          <w:p w:rsidR="006D4614" w:rsidRDefault="006D4614" w:rsidP="00F83FE6">
            <w:pPr>
              <w:jc w:val="both"/>
              <w:rPr>
                <w:sz w:val="20"/>
              </w:rPr>
            </w:pPr>
            <w:r>
              <w:rPr>
                <w:sz w:val="20"/>
              </w:rPr>
              <w:t>Nombre d’entreprises parties prenantes de l’action</w:t>
            </w:r>
          </w:p>
          <w:p w:rsidR="006D4614" w:rsidRDefault="006D4614" w:rsidP="00F83FE6">
            <w:pPr>
              <w:jc w:val="both"/>
              <w:rPr>
                <w:sz w:val="20"/>
              </w:rPr>
            </w:pPr>
            <w:r>
              <w:rPr>
                <w:sz w:val="20"/>
              </w:rPr>
              <w:t>Nombre de rencontres collectives</w:t>
            </w:r>
          </w:p>
          <w:p w:rsidR="006D4614" w:rsidRPr="00CB2B3D" w:rsidRDefault="006D4614" w:rsidP="00F83FE6">
            <w:pPr>
              <w:jc w:val="both"/>
              <w:rPr>
                <w:sz w:val="20"/>
              </w:rPr>
            </w:pPr>
            <w:r>
              <w:rPr>
                <w:sz w:val="20"/>
              </w:rPr>
              <w:t>Nombre d’accompagnements individuels</w:t>
            </w:r>
          </w:p>
        </w:tc>
        <w:tc>
          <w:tcPr>
            <w:tcW w:w="2835" w:type="dxa"/>
          </w:tcPr>
          <w:p w:rsidR="006D4614" w:rsidRDefault="006D4614" w:rsidP="00811742">
            <w:pPr>
              <w:jc w:val="both"/>
              <w:rPr>
                <w:sz w:val="20"/>
              </w:rPr>
            </w:pPr>
            <w:r>
              <w:rPr>
                <w:sz w:val="20"/>
              </w:rPr>
              <w:t>Listes fournies par Thésame</w:t>
            </w:r>
          </w:p>
          <w:p w:rsidR="006D4614" w:rsidRDefault="006D4614" w:rsidP="00811742">
            <w:pPr>
              <w:jc w:val="both"/>
              <w:rPr>
                <w:sz w:val="20"/>
              </w:rPr>
            </w:pPr>
            <w:r>
              <w:rPr>
                <w:sz w:val="20"/>
              </w:rPr>
              <w:t>Feuilles d’émargement aux rencontres</w:t>
            </w:r>
          </w:p>
          <w:p w:rsidR="006D4614" w:rsidRPr="00CB2B3D" w:rsidRDefault="006D4614" w:rsidP="00811742">
            <w:pPr>
              <w:jc w:val="both"/>
              <w:rPr>
                <w:sz w:val="20"/>
              </w:rPr>
            </w:pPr>
            <w:r>
              <w:rPr>
                <w:sz w:val="20"/>
              </w:rPr>
              <w:t>Comptes-rendus des accompagnements individuels</w:t>
            </w:r>
          </w:p>
        </w:tc>
      </w:tr>
      <w:tr w:rsidR="006D4614" w:rsidRPr="0031013E" w:rsidTr="006D4614">
        <w:tc>
          <w:tcPr>
            <w:tcW w:w="534" w:type="dxa"/>
            <w:vMerge/>
          </w:tcPr>
          <w:p w:rsidR="006D4614" w:rsidRDefault="006D4614" w:rsidP="00F83FE6">
            <w:pPr>
              <w:rPr>
                <w:sz w:val="20"/>
              </w:rPr>
            </w:pPr>
          </w:p>
        </w:tc>
        <w:tc>
          <w:tcPr>
            <w:tcW w:w="3543" w:type="dxa"/>
          </w:tcPr>
          <w:p w:rsidR="006D4614" w:rsidRPr="00CB2B3D" w:rsidRDefault="006D4614" w:rsidP="00F83FE6">
            <w:pPr>
              <w:rPr>
                <w:sz w:val="20"/>
              </w:rPr>
            </w:pPr>
            <w:r>
              <w:rPr>
                <w:sz w:val="20"/>
              </w:rPr>
              <w:t>Constitution effective d’un réseau de consultants</w:t>
            </w:r>
          </w:p>
        </w:tc>
        <w:tc>
          <w:tcPr>
            <w:tcW w:w="3969" w:type="dxa"/>
          </w:tcPr>
          <w:p w:rsidR="006D4614" w:rsidRPr="00CB2B3D" w:rsidRDefault="006D4614" w:rsidP="00F83FE6">
            <w:pPr>
              <w:jc w:val="both"/>
              <w:rPr>
                <w:sz w:val="20"/>
              </w:rPr>
            </w:pPr>
            <w:r>
              <w:rPr>
                <w:sz w:val="20"/>
              </w:rPr>
              <w:t>Nombre de consultants recrutés</w:t>
            </w:r>
          </w:p>
        </w:tc>
        <w:tc>
          <w:tcPr>
            <w:tcW w:w="2835" w:type="dxa"/>
          </w:tcPr>
          <w:p w:rsidR="006D4614" w:rsidRDefault="006D4614" w:rsidP="00811742">
            <w:pPr>
              <w:jc w:val="both"/>
              <w:rPr>
                <w:sz w:val="20"/>
              </w:rPr>
            </w:pPr>
            <w:r>
              <w:rPr>
                <w:sz w:val="20"/>
              </w:rPr>
              <w:t>Listes fournies par Thésame</w:t>
            </w:r>
          </w:p>
          <w:p w:rsidR="006D4614" w:rsidRPr="00CB2B3D" w:rsidRDefault="006D4614" w:rsidP="00D9519A">
            <w:pPr>
              <w:jc w:val="both"/>
              <w:rPr>
                <w:sz w:val="20"/>
              </w:rPr>
            </w:pPr>
            <w:r>
              <w:rPr>
                <w:sz w:val="20"/>
              </w:rPr>
              <w:t>Feuilles d’émargement aux rencontres</w:t>
            </w:r>
          </w:p>
        </w:tc>
      </w:tr>
      <w:tr w:rsidR="006D4614" w:rsidRPr="0031013E" w:rsidTr="006D4614">
        <w:tc>
          <w:tcPr>
            <w:tcW w:w="534" w:type="dxa"/>
            <w:vMerge/>
          </w:tcPr>
          <w:p w:rsidR="006D4614" w:rsidRDefault="006D4614" w:rsidP="00F83FE6">
            <w:pPr>
              <w:rPr>
                <w:sz w:val="20"/>
              </w:rPr>
            </w:pPr>
          </w:p>
        </w:tc>
        <w:tc>
          <w:tcPr>
            <w:tcW w:w="3543" w:type="dxa"/>
          </w:tcPr>
          <w:p w:rsidR="006D4614" w:rsidRPr="00CB2B3D" w:rsidRDefault="006D4614" w:rsidP="00F83FE6">
            <w:pPr>
              <w:rPr>
                <w:sz w:val="20"/>
              </w:rPr>
            </w:pPr>
            <w:r>
              <w:rPr>
                <w:sz w:val="20"/>
              </w:rPr>
              <w:t>Constitution</w:t>
            </w:r>
            <w:r w:rsidRPr="00910B58">
              <w:rPr>
                <w:sz w:val="20"/>
              </w:rPr>
              <w:t xml:space="preserve"> </w:t>
            </w:r>
            <w:r>
              <w:rPr>
                <w:sz w:val="20"/>
              </w:rPr>
              <w:t xml:space="preserve">effective </w:t>
            </w:r>
            <w:r w:rsidRPr="00910B58">
              <w:rPr>
                <w:sz w:val="20"/>
              </w:rPr>
              <w:t>d’une plateforme régionale d’échanges</w:t>
            </w:r>
          </w:p>
        </w:tc>
        <w:tc>
          <w:tcPr>
            <w:tcW w:w="3969" w:type="dxa"/>
          </w:tcPr>
          <w:p w:rsidR="006D4614" w:rsidRDefault="006D4614" w:rsidP="00F83FE6">
            <w:pPr>
              <w:jc w:val="both"/>
              <w:rPr>
                <w:sz w:val="20"/>
              </w:rPr>
            </w:pPr>
            <w:r>
              <w:rPr>
                <w:sz w:val="20"/>
              </w:rPr>
              <w:t>Nombre de participants aux échanges</w:t>
            </w:r>
          </w:p>
          <w:p w:rsidR="006D4614" w:rsidRPr="00CB2B3D" w:rsidRDefault="006D4614" w:rsidP="00F83FE6">
            <w:pPr>
              <w:jc w:val="both"/>
              <w:rPr>
                <w:sz w:val="20"/>
              </w:rPr>
            </w:pPr>
            <w:r>
              <w:rPr>
                <w:sz w:val="20"/>
              </w:rPr>
              <w:t>Qualité des participants</w:t>
            </w:r>
          </w:p>
        </w:tc>
        <w:tc>
          <w:tcPr>
            <w:tcW w:w="2835" w:type="dxa"/>
          </w:tcPr>
          <w:p w:rsidR="006D4614" w:rsidRDefault="006D4614" w:rsidP="00811742">
            <w:pPr>
              <w:jc w:val="both"/>
              <w:rPr>
                <w:sz w:val="20"/>
              </w:rPr>
            </w:pPr>
            <w:r>
              <w:rPr>
                <w:sz w:val="20"/>
              </w:rPr>
              <w:t>Listes fournies par l’Aract</w:t>
            </w:r>
          </w:p>
          <w:p w:rsidR="006D4614" w:rsidRPr="00CB2B3D" w:rsidRDefault="006D4614" w:rsidP="00D9519A">
            <w:pPr>
              <w:jc w:val="both"/>
              <w:rPr>
                <w:sz w:val="20"/>
              </w:rPr>
            </w:pPr>
            <w:r>
              <w:rPr>
                <w:sz w:val="20"/>
              </w:rPr>
              <w:t>Feuilles d’émargement aux rencontres</w:t>
            </w:r>
          </w:p>
        </w:tc>
      </w:tr>
      <w:tr w:rsidR="006D4614" w:rsidRPr="0031013E" w:rsidTr="006D4614">
        <w:tc>
          <w:tcPr>
            <w:tcW w:w="534" w:type="dxa"/>
            <w:vMerge/>
          </w:tcPr>
          <w:p w:rsidR="006D4614" w:rsidRDefault="006D4614" w:rsidP="00811742">
            <w:pPr>
              <w:rPr>
                <w:sz w:val="20"/>
              </w:rPr>
            </w:pPr>
          </w:p>
        </w:tc>
        <w:tc>
          <w:tcPr>
            <w:tcW w:w="3543" w:type="dxa"/>
          </w:tcPr>
          <w:p w:rsidR="006D4614" w:rsidRDefault="006D4614" w:rsidP="00811742">
            <w:pPr>
              <w:rPr>
                <w:sz w:val="20"/>
              </w:rPr>
            </w:pPr>
            <w:r>
              <w:rPr>
                <w:sz w:val="20"/>
              </w:rPr>
              <w:t>Cycles d’échanges sur la SQVTPG</w:t>
            </w:r>
          </w:p>
        </w:tc>
        <w:tc>
          <w:tcPr>
            <w:tcW w:w="3969" w:type="dxa"/>
          </w:tcPr>
          <w:p w:rsidR="006D4614" w:rsidRDefault="006D4614" w:rsidP="00811742">
            <w:pPr>
              <w:jc w:val="both"/>
              <w:rPr>
                <w:sz w:val="20"/>
              </w:rPr>
            </w:pPr>
            <w:r>
              <w:rPr>
                <w:sz w:val="20"/>
              </w:rPr>
              <w:t>Nombre de participants aux échanges</w:t>
            </w:r>
          </w:p>
          <w:p w:rsidR="006D4614" w:rsidRPr="00CB2B3D" w:rsidRDefault="006D4614" w:rsidP="00811742">
            <w:pPr>
              <w:jc w:val="both"/>
              <w:rPr>
                <w:sz w:val="20"/>
              </w:rPr>
            </w:pPr>
            <w:r>
              <w:rPr>
                <w:sz w:val="20"/>
              </w:rPr>
              <w:t>Qualité des participants</w:t>
            </w:r>
          </w:p>
        </w:tc>
        <w:tc>
          <w:tcPr>
            <w:tcW w:w="2835" w:type="dxa"/>
          </w:tcPr>
          <w:p w:rsidR="006D4614" w:rsidRDefault="006D4614" w:rsidP="00811742">
            <w:pPr>
              <w:jc w:val="both"/>
              <w:rPr>
                <w:sz w:val="20"/>
              </w:rPr>
            </w:pPr>
            <w:r>
              <w:rPr>
                <w:sz w:val="20"/>
              </w:rPr>
              <w:t>Listes fournies par l’Aract</w:t>
            </w:r>
          </w:p>
          <w:p w:rsidR="006D4614" w:rsidRPr="00CB2B3D" w:rsidRDefault="006D4614" w:rsidP="00811742">
            <w:pPr>
              <w:jc w:val="both"/>
              <w:rPr>
                <w:sz w:val="20"/>
              </w:rPr>
            </w:pPr>
            <w:r>
              <w:rPr>
                <w:sz w:val="20"/>
              </w:rPr>
              <w:t>Feuilles d’émargement aux rencontres</w:t>
            </w:r>
          </w:p>
        </w:tc>
      </w:tr>
    </w:tbl>
    <w:p w:rsidR="00D5799A" w:rsidRDefault="00D5799A" w:rsidP="006D1F77">
      <w:pPr>
        <w:spacing w:after="0" w:line="240" w:lineRule="auto"/>
        <w:rPr>
          <w:sz w:val="16"/>
          <w:szCs w:val="10"/>
        </w:rPr>
      </w:pPr>
    </w:p>
    <w:tbl>
      <w:tblPr>
        <w:tblStyle w:val="Grilledutableau"/>
        <w:tblW w:w="11023" w:type="dxa"/>
        <w:tblLayout w:type="fixed"/>
        <w:tblLook w:val="04A0" w:firstRow="1" w:lastRow="0" w:firstColumn="1" w:lastColumn="0" w:noHBand="0" w:noVBand="1"/>
      </w:tblPr>
      <w:tblGrid>
        <w:gridCol w:w="2518"/>
        <w:gridCol w:w="2126"/>
        <w:gridCol w:w="2835"/>
        <w:gridCol w:w="2268"/>
        <w:gridCol w:w="1276"/>
      </w:tblGrid>
      <w:tr w:rsidR="009767AB" w:rsidRPr="009A27F1" w:rsidTr="009767AB">
        <w:tc>
          <w:tcPr>
            <w:tcW w:w="11023" w:type="dxa"/>
            <w:gridSpan w:val="5"/>
            <w:tcBorders>
              <w:bottom w:val="single" w:sz="4" w:space="0" w:color="auto"/>
            </w:tcBorders>
            <w:shd w:val="clear" w:color="auto" w:fill="DBE5F1" w:themeFill="accent1" w:themeFillTint="33"/>
          </w:tcPr>
          <w:p w:rsidR="00E3350F" w:rsidRPr="00E3350F" w:rsidRDefault="009767AB" w:rsidP="00E3350F">
            <w:pPr>
              <w:jc w:val="center"/>
              <w:rPr>
                <w:b/>
                <w:sz w:val="20"/>
                <w:szCs w:val="20"/>
              </w:rPr>
            </w:pPr>
            <w:r w:rsidRPr="00E3350F">
              <w:rPr>
                <w:b/>
                <w:sz w:val="20"/>
                <w:szCs w:val="20"/>
              </w:rPr>
              <w:br w:type="page"/>
            </w:r>
            <w:r w:rsidR="00E3350F" w:rsidRPr="00E3350F">
              <w:rPr>
                <w:b/>
                <w:sz w:val="20"/>
                <w:szCs w:val="20"/>
              </w:rPr>
              <w:t>Objectif spécifique II</w:t>
            </w:r>
          </w:p>
          <w:p w:rsidR="009767AB" w:rsidRPr="00E3350F" w:rsidRDefault="00E3350F" w:rsidP="00E3350F">
            <w:pPr>
              <w:jc w:val="center"/>
              <w:rPr>
                <w:b/>
                <w:color w:val="000000" w:themeColor="text1"/>
                <w:sz w:val="20"/>
                <w:szCs w:val="20"/>
              </w:rPr>
            </w:pPr>
            <w:r w:rsidRPr="00E3350F">
              <w:rPr>
                <w:b/>
                <w:color w:val="000000" w:themeColor="text1"/>
                <w:sz w:val="20"/>
                <w:szCs w:val="20"/>
              </w:rPr>
              <w:t>Favoriser la montée en compétences de</w:t>
            </w:r>
            <w:r w:rsidR="00463332">
              <w:rPr>
                <w:b/>
                <w:color w:val="000000" w:themeColor="text1"/>
                <w:sz w:val="20"/>
                <w:szCs w:val="20"/>
              </w:rPr>
              <w:t>s</w:t>
            </w:r>
            <w:r w:rsidRPr="00E3350F">
              <w:rPr>
                <w:b/>
                <w:color w:val="000000" w:themeColor="text1"/>
                <w:sz w:val="20"/>
                <w:szCs w:val="20"/>
              </w:rPr>
              <w:t xml:space="preserve"> acteurs de l’entreprise en SQVTPG</w:t>
            </w:r>
          </w:p>
        </w:tc>
      </w:tr>
      <w:tr w:rsidR="009767AB" w:rsidRPr="00EB104C" w:rsidTr="009767AB">
        <w:tc>
          <w:tcPr>
            <w:tcW w:w="11023" w:type="dxa"/>
            <w:gridSpan w:val="5"/>
            <w:shd w:val="clear" w:color="auto" w:fill="FDE9D9" w:themeFill="accent6" w:themeFillTint="33"/>
          </w:tcPr>
          <w:p w:rsidR="009767AB" w:rsidRPr="006D4614" w:rsidRDefault="009767AB" w:rsidP="006D4614">
            <w:pPr>
              <w:jc w:val="center"/>
              <w:rPr>
                <w:b/>
                <w:sz w:val="20"/>
                <w:szCs w:val="10"/>
              </w:rPr>
            </w:pPr>
            <w:r w:rsidRPr="00EB104C">
              <w:rPr>
                <w:b/>
                <w:sz w:val="20"/>
                <w:szCs w:val="10"/>
              </w:rPr>
              <w:t>Description des activités</w:t>
            </w:r>
          </w:p>
        </w:tc>
      </w:tr>
      <w:tr w:rsidR="009767AB" w:rsidRPr="00CF383E" w:rsidTr="006D1F77">
        <w:tc>
          <w:tcPr>
            <w:tcW w:w="2518" w:type="dxa"/>
            <w:shd w:val="clear" w:color="auto" w:fill="FDE9D9" w:themeFill="accent6" w:themeFillTint="33"/>
          </w:tcPr>
          <w:p w:rsidR="009767AB" w:rsidRPr="00CF383E" w:rsidRDefault="009767AB" w:rsidP="00D41F73">
            <w:pPr>
              <w:jc w:val="center"/>
              <w:rPr>
                <w:b/>
                <w:sz w:val="20"/>
                <w:szCs w:val="10"/>
              </w:rPr>
            </w:pPr>
            <w:r>
              <w:rPr>
                <w:b/>
                <w:sz w:val="20"/>
                <w:szCs w:val="10"/>
              </w:rPr>
              <w:t>Actions</w:t>
            </w:r>
          </w:p>
        </w:tc>
        <w:tc>
          <w:tcPr>
            <w:tcW w:w="2126" w:type="dxa"/>
            <w:shd w:val="clear" w:color="auto" w:fill="FDE9D9" w:themeFill="accent6" w:themeFillTint="33"/>
          </w:tcPr>
          <w:p w:rsidR="009767AB" w:rsidRPr="00CF383E" w:rsidRDefault="009767AB" w:rsidP="000C762E">
            <w:pPr>
              <w:jc w:val="center"/>
              <w:rPr>
                <w:b/>
                <w:sz w:val="20"/>
                <w:szCs w:val="10"/>
              </w:rPr>
            </w:pPr>
            <w:r>
              <w:rPr>
                <w:b/>
                <w:sz w:val="20"/>
                <w:szCs w:val="10"/>
              </w:rPr>
              <w:t>Cibles</w:t>
            </w:r>
          </w:p>
        </w:tc>
        <w:tc>
          <w:tcPr>
            <w:tcW w:w="2835" w:type="dxa"/>
            <w:shd w:val="clear" w:color="auto" w:fill="FDE9D9" w:themeFill="accent6" w:themeFillTint="33"/>
          </w:tcPr>
          <w:p w:rsidR="009767AB" w:rsidRPr="00CF383E" w:rsidRDefault="009767AB" w:rsidP="000C762E">
            <w:pPr>
              <w:jc w:val="center"/>
              <w:rPr>
                <w:b/>
                <w:sz w:val="20"/>
                <w:szCs w:val="10"/>
              </w:rPr>
            </w:pPr>
            <w:r w:rsidRPr="00CF383E">
              <w:rPr>
                <w:b/>
                <w:sz w:val="20"/>
                <w:szCs w:val="10"/>
              </w:rPr>
              <w:t>Méthodologie</w:t>
            </w:r>
          </w:p>
        </w:tc>
        <w:tc>
          <w:tcPr>
            <w:tcW w:w="2268" w:type="dxa"/>
            <w:shd w:val="clear" w:color="auto" w:fill="FDE9D9" w:themeFill="accent6" w:themeFillTint="33"/>
          </w:tcPr>
          <w:p w:rsidR="009767AB" w:rsidRPr="00CF383E" w:rsidRDefault="009767AB" w:rsidP="00D41F73">
            <w:pPr>
              <w:jc w:val="center"/>
              <w:rPr>
                <w:b/>
                <w:sz w:val="20"/>
                <w:szCs w:val="10"/>
              </w:rPr>
            </w:pPr>
            <w:r w:rsidRPr="00CF383E">
              <w:rPr>
                <w:b/>
                <w:sz w:val="20"/>
                <w:szCs w:val="10"/>
              </w:rPr>
              <w:t>Responsable</w:t>
            </w:r>
          </w:p>
        </w:tc>
        <w:tc>
          <w:tcPr>
            <w:tcW w:w="1276" w:type="dxa"/>
            <w:shd w:val="clear" w:color="auto" w:fill="FDE9D9" w:themeFill="accent6" w:themeFillTint="33"/>
          </w:tcPr>
          <w:p w:rsidR="009767AB" w:rsidRPr="00CF383E" w:rsidRDefault="009767AB" w:rsidP="000C762E">
            <w:pPr>
              <w:jc w:val="center"/>
              <w:rPr>
                <w:b/>
                <w:sz w:val="20"/>
                <w:szCs w:val="10"/>
              </w:rPr>
            </w:pPr>
            <w:r>
              <w:rPr>
                <w:b/>
                <w:sz w:val="20"/>
                <w:szCs w:val="10"/>
              </w:rPr>
              <w:t>Echéances</w:t>
            </w:r>
          </w:p>
        </w:tc>
      </w:tr>
      <w:tr w:rsidR="009767AB" w:rsidRPr="00BD6F57" w:rsidTr="006D1F77">
        <w:tc>
          <w:tcPr>
            <w:tcW w:w="2518" w:type="dxa"/>
            <w:tcBorders>
              <w:bottom w:val="single" w:sz="4" w:space="0" w:color="auto"/>
            </w:tcBorders>
          </w:tcPr>
          <w:p w:rsidR="009767AB" w:rsidRDefault="00463332" w:rsidP="00D41F73">
            <w:pPr>
              <w:rPr>
                <w:sz w:val="20"/>
                <w:szCs w:val="10"/>
              </w:rPr>
            </w:pPr>
            <w:r>
              <w:rPr>
                <w:sz w:val="20"/>
                <w:szCs w:val="10"/>
              </w:rPr>
              <w:t xml:space="preserve">2.4.2.7 </w:t>
            </w:r>
            <w:r w:rsidR="009767AB">
              <w:rPr>
                <w:sz w:val="20"/>
                <w:szCs w:val="10"/>
              </w:rPr>
              <w:t xml:space="preserve">Intégration </w:t>
            </w:r>
            <w:r w:rsidR="00C71FCA">
              <w:rPr>
                <w:sz w:val="20"/>
                <w:szCs w:val="10"/>
              </w:rPr>
              <w:t xml:space="preserve">de la démarche SQVTPG </w:t>
            </w:r>
            <w:r w:rsidR="009767AB">
              <w:rPr>
                <w:sz w:val="20"/>
                <w:szCs w:val="10"/>
              </w:rPr>
              <w:t xml:space="preserve">dans les programmes pédagogiques de formations initiales </w:t>
            </w:r>
            <w:r w:rsidR="00C71FCA">
              <w:rPr>
                <w:sz w:val="20"/>
                <w:szCs w:val="10"/>
              </w:rPr>
              <w:t>des écoles d’ingénieurs et de management</w:t>
            </w:r>
          </w:p>
          <w:p w:rsidR="009767AB" w:rsidRDefault="009767AB" w:rsidP="00D41F73">
            <w:pPr>
              <w:rPr>
                <w:sz w:val="20"/>
                <w:szCs w:val="10"/>
              </w:rPr>
            </w:pPr>
          </w:p>
        </w:tc>
        <w:tc>
          <w:tcPr>
            <w:tcW w:w="2126" w:type="dxa"/>
          </w:tcPr>
          <w:p w:rsidR="009767AB" w:rsidRPr="009767AB" w:rsidRDefault="00C71FCA" w:rsidP="009767AB">
            <w:pPr>
              <w:ind w:left="34"/>
              <w:jc w:val="both"/>
              <w:rPr>
                <w:sz w:val="20"/>
                <w:szCs w:val="10"/>
              </w:rPr>
            </w:pPr>
            <w:r>
              <w:rPr>
                <w:sz w:val="20"/>
                <w:szCs w:val="10"/>
              </w:rPr>
              <w:t>Ecoles d’ingénieurs et de management</w:t>
            </w:r>
          </w:p>
        </w:tc>
        <w:tc>
          <w:tcPr>
            <w:tcW w:w="2835" w:type="dxa"/>
          </w:tcPr>
          <w:p w:rsidR="009767AB" w:rsidRPr="00C71FCA" w:rsidRDefault="00C71FCA" w:rsidP="00C71FCA">
            <w:pPr>
              <w:jc w:val="both"/>
              <w:rPr>
                <w:sz w:val="20"/>
                <w:szCs w:val="10"/>
              </w:rPr>
            </w:pPr>
            <w:r>
              <w:rPr>
                <w:sz w:val="20"/>
                <w:szCs w:val="10"/>
              </w:rPr>
              <w:t>Démarcher les écoles</w:t>
            </w:r>
          </w:p>
          <w:p w:rsidR="009767AB" w:rsidRPr="005C5D01" w:rsidRDefault="009767AB" w:rsidP="008E29E4">
            <w:pPr>
              <w:jc w:val="both"/>
              <w:rPr>
                <w:sz w:val="20"/>
                <w:szCs w:val="10"/>
              </w:rPr>
            </w:pPr>
          </w:p>
        </w:tc>
        <w:tc>
          <w:tcPr>
            <w:tcW w:w="2268" w:type="dxa"/>
          </w:tcPr>
          <w:p w:rsidR="009767AB" w:rsidRPr="00C71FCA" w:rsidRDefault="009767AB" w:rsidP="00C71FCA">
            <w:pPr>
              <w:jc w:val="both"/>
              <w:rPr>
                <w:sz w:val="20"/>
                <w:szCs w:val="10"/>
              </w:rPr>
            </w:pPr>
            <w:r w:rsidRPr="00C71FCA">
              <w:rPr>
                <w:sz w:val="20"/>
                <w:szCs w:val="10"/>
              </w:rPr>
              <w:t>ECAM</w:t>
            </w:r>
          </w:p>
        </w:tc>
        <w:tc>
          <w:tcPr>
            <w:tcW w:w="1276" w:type="dxa"/>
          </w:tcPr>
          <w:p w:rsidR="009767AB" w:rsidRPr="00BD6F57" w:rsidRDefault="00C71FCA" w:rsidP="00D41F73">
            <w:pPr>
              <w:jc w:val="center"/>
              <w:rPr>
                <w:sz w:val="20"/>
                <w:szCs w:val="10"/>
              </w:rPr>
            </w:pPr>
            <w:r>
              <w:rPr>
                <w:sz w:val="20"/>
                <w:szCs w:val="10"/>
              </w:rPr>
              <w:t>2017</w:t>
            </w:r>
          </w:p>
        </w:tc>
      </w:tr>
      <w:tr w:rsidR="00C71FCA" w:rsidRPr="00BD6F57" w:rsidTr="006D1F77">
        <w:tc>
          <w:tcPr>
            <w:tcW w:w="2518" w:type="dxa"/>
            <w:tcBorders>
              <w:bottom w:val="single" w:sz="4" w:space="0" w:color="auto"/>
            </w:tcBorders>
          </w:tcPr>
          <w:p w:rsidR="00C71FCA" w:rsidRPr="00C71FCA" w:rsidRDefault="00463332" w:rsidP="00C71FCA">
            <w:pPr>
              <w:rPr>
                <w:sz w:val="20"/>
                <w:szCs w:val="10"/>
              </w:rPr>
            </w:pPr>
            <w:r>
              <w:rPr>
                <w:sz w:val="20"/>
                <w:szCs w:val="10"/>
              </w:rPr>
              <w:t xml:space="preserve">2.4.2.8 </w:t>
            </w:r>
            <w:r w:rsidR="00C71FCA">
              <w:rPr>
                <w:sz w:val="20"/>
                <w:szCs w:val="10"/>
              </w:rPr>
              <w:t>Création d’outils pour faire évoluer les référentiels de compétences et les modules de formation des écoles d’ingénieur et de management</w:t>
            </w:r>
          </w:p>
        </w:tc>
        <w:tc>
          <w:tcPr>
            <w:tcW w:w="2126" w:type="dxa"/>
          </w:tcPr>
          <w:p w:rsidR="00C71FCA" w:rsidRPr="009767AB" w:rsidRDefault="00C71FCA" w:rsidP="00C71FCA">
            <w:pPr>
              <w:ind w:left="34"/>
              <w:jc w:val="both"/>
              <w:rPr>
                <w:sz w:val="20"/>
                <w:szCs w:val="10"/>
              </w:rPr>
            </w:pPr>
            <w:r>
              <w:rPr>
                <w:sz w:val="20"/>
                <w:szCs w:val="10"/>
              </w:rPr>
              <w:t>Ecoles d’ingénieurs et de management</w:t>
            </w:r>
          </w:p>
        </w:tc>
        <w:tc>
          <w:tcPr>
            <w:tcW w:w="2835" w:type="dxa"/>
          </w:tcPr>
          <w:p w:rsidR="00C71FCA" w:rsidRPr="00C71FCA" w:rsidRDefault="00C71FCA" w:rsidP="00C71FCA">
            <w:pPr>
              <w:jc w:val="both"/>
              <w:rPr>
                <w:sz w:val="20"/>
                <w:szCs w:val="10"/>
              </w:rPr>
            </w:pPr>
          </w:p>
        </w:tc>
        <w:tc>
          <w:tcPr>
            <w:tcW w:w="2268" w:type="dxa"/>
          </w:tcPr>
          <w:p w:rsidR="00C71FCA" w:rsidRPr="00C71FCA" w:rsidRDefault="00C71FCA" w:rsidP="00C71FCA">
            <w:pPr>
              <w:jc w:val="both"/>
              <w:rPr>
                <w:sz w:val="20"/>
                <w:szCs w:val="10"/>
              </w:rPr>
            </w:pPr>
            <w:r w:rsidRPr="00C71FCA">
              <w:rPr>
                <w:sz w:val="20"/>
                <w:szCs w:val="10"/>
              </w:rPr>
              <w:t>ECAM</w:t>
            </w:r>
          </w:p>
        </w:tc>
        <w:tc>
          <w:tcPr>
            <w:tcW w:w="1276" w:type="dxa"/>
          </w:tcPr>
          <w:p w:rsidR="00C71FCA" w:rsidRDefault="00C71FCA" w:rsidP="00C71FCA">
            <w:pPr>
              <w:jc w:val="center"/>
              <w:rPr>
                <w:sz w:val="20"/>
                <w:szCs w:val="10"/>
              </w:rPr>
            </w:pPr>
            <w:r>
              <w:rPr>
                <w:sz w:val="20"/>
                <w:szCs w:val="10"/>
              </w:rPr>
              <w:t>2017</w:t>
            </w:r>
          </w:p>
        </w:tc>
      </w:tr>
      <w:tr w:rsidR="00C71FCA" w:rsidRPr="00BD6F57" w:rsidTr="006D1F77">
        <w:tc>
          <w:tcPr>
            <w:tcW w:w="2518" w:type="dxa"/>
            <w:tcBorders>
              <w:bottom w:val="single" w:sz="4" w:space="0" w:color="auto"/>
            </w:tcBorders>
          </w:tcPr>
          <w:p w:rsidR="00C71FCA" w:rsidRPr="00C71FCA" w:rsidRDefault="00463332" w:rsidP="00C71FCA">
            <w:pPr>
              <w:rPr>
                <w:sz w:val="20"/>
                <w:szCs w:val="10"/>
              </w:rPr>
            </w:pPr>
            <w:r>
              <w:rPr>
                <w:sz w:val="20"/>
                <w:szCs w:val="10"/>
              </w:rPr>
              <w:t xml:space="preserve">2.4.2.9 </w:t>
            </w:r>
            <w:r w:rsidR="00C71FCA">
              <w:rPr>
                <w:sz w:val="20"/>
                <w:szCs w:val="10"/>
              </w:rPr>
              <w:t>Faire l’état des lieux des référentiels et modules de formation modifiés</w:t>
            </w:r>
            <w:r w:rsidR="00C9325A">
              <w:rPr>
                <w:sz w:val="20"/>
                <w:szCs w:val="10"/>
              </w:rPr>
              <w:t xml:space="preserve"> dans les écoles d’ingénieur et de management</w:t>
            </w:r>
          </w:p>
        </w:tc>
        <w:tc>
          <w:tcPr>
            <w:tcW w:w="2126" w:type="dxa"/>
          </w:tcPr>
          <w:p w:rsidR="00C71FCA" w:rsidRPr="009767AB" w:rsidRDefault="00C71FCA" w:rsidP="00C71FCA">
            <w:pPr>
              <w:ind w:left="34"/>
              <w:jc w:val="both"/>
              <w:rPr>
                <w:sz w:val="20"/>
                <w:szCs w:val="10"/>
              </w:rPr>
            </w:pPr>
            <w:r>
              <w:rPr>
                <w:sz w:val="20"/>
                <w:szCs w:val="10"/>
              </w:rPr>
              <w:t>Ecoles d’ingénieurs et de management</w:t>
            </w:r>
          </w:p>
        </w:tc>
        <w:tc>
          <w:tcPr>
            <w:tcW w:w="2835" w:type="dxa"/>
          </w:tcPr>
          <w:p w:rsidR="00C71FCA" w:rsidRPr="00C71FCA" w:rsidRDefault="00C71FCA" w:rsidP="00C71FCA">
            <w:pPr>
              <w:jc w:val="both"/>
              <w:rPr>
                <w:sz w:val="20"/>
                <w:szCs w:val="10"/>
              </w:rPr>
            </w:pPr>
          </w:p>
        </w:tc>
        <w:tc>
          <w:tcPr>
            <w:tcW w:w="2268" w:type="dxa"/>
          </w:tcPr>
          <w:p w:rsidR="00C71FCA" w:rsidRPr="00C71FCA" w:rsidRDefault="00C71FCA" w:rsidP="00C71FCA">
            <w:pPr>
              <w:jc w:val="both"/>
              <w:rPr>
                <w:sz w:val="20"/>
                <w:szCs w:val="10"/>
              </w:rPr>
            </w:pPr>
            <w:r w:rsidRPr="00C71FCA">
              <w:rPr>
                <w:sz w:val="20"/>
                <w:szCs w:val="10"/>
              </w:rPr>
              <w:t>ECAM</w:t>
            </w:r>
          </w:p>
        </w:tc>
        <w:tc>
          <w:tcPr>
            <w:tcW w:w="1276" w:type="dxa"/>
          </w:tcPr>
          <w:p w:rsidR="00C71FCA" w:rsidRDefault="00C71FCA" w:rsidP="00C71FCA">
            <w:pPr>
              <w:jc w:val="center"/>
              <w:rPr>
                <w:sz w:val="20"/>
                <w:szCs w:val="10"/>
              </w:rPr>
            </w:pPr>
            <w:r>
              <w:rPr>
                <w:sz w:val="20"/>
                <w:szCs w:val="10"/>
              </w:rPr>
              <w:t>2018</w:t>
            </w:r>
          </w:p>
        </w:tc>
      </w:tr>
      <w:tr w:rsidR="00C71FCA" w:rsidRPr="00BD6F57" w:rsidTr="006D1F77">
        <w:tc>
          <w:tcPr>
            <w:tcW w:w="2518" w:type="dxa"/>
            <w:tcBorders>
              <w:bottom w:val="single" w:sz="4" w:space="0" w:color="auto"/>
            </w:tcBorders>
          </w:tcPr>
          <w:p w:rsidR="00C71FCA" w:rsidRPr="00C71FCA" w:rsidRDefault="00463332" w:rsidP="00C71FCA">
            <w:pPr>
              <w:rPr>
                <w:sz w:val="20"/>
                <w:szCs w:val="10"/>
              </w:rPr>
            </w:pPr>
            <w:r>
              <w:rPr>
                <w:sz w:val="20"/>
                <w:szCs w:val="10"/>
              </w:rPr>
              <w:t xml:space="preserve">2.4.2.10 </w:t>
            </w:r>
            <w:r w:rsidR="00C71FCA" w:rsidRPr="00C71FCA">
              <w:rPr>
                <w:sz w:val="20"/>
                <w:szCs w:val="10"/>
              </w:rPr>
              <w:t>Intégration dans les programmes pédagogiques de formations continues la santé qualité de vie et performance globale</w:t>
            </w:r>
          </w:p>
          <w:p w:rsidR="00C71FCA" w:rsidRDefault="00C71FCA" w:rsidP="00C71FCA">
            <w:pPr>
              <w:rPr>
                <w:sz w:val="20"/>
                <w:szCs w:val="10"/>
              </w:rPr>
            </w:pPr>
          </w:p>
        </w:tc>
        <w:tc>
          <w:tcPr>
            <w:tcW w:w="2126" w:type="dxa"/>
          </w:tcPr>
          <w:p w:rsidR="00C71FCA" w:rsidRPr="009767AB" w:rsidRDefault="00C71FCA" w:rsidP="00C71FCA">
            <w:pPr>
              <w:ind w:left="34"/>
              <w:jc w:val="both"/>
              <w:rPr>
                <w:sz w:val="20"/>
                <w:szCs w:val="10"/>
              </w:rPr>
            </w:pPr>
            <w:r>
              <w:rPr>
                <w:sz w:val="20"/>
                <w:szCs w:val="10"/>
              </w:rPr>
              <w:t>Organismes de formation continue</w:t>
            </w:r>
          </w:p>
        </w:tc>
        <w:tc>
          <w:tcPr>
            <w:tcW w:w="2835" w:type="dxa"/>
          </w:tcPr>
          <w:p w:rsidR="00C71FCA" w:rsidRPr="008E29E4" w:rsidRDefault="00C71FCA" w:rsidP="00C71FCA">
            <w:pPr>
              <w:jc w:val="both"/>
              <w:rPr>
                <w:i/>
                <w:sz w:val="20"/>
                <w:szCs w:val="10"/>
              </w:rPr>
            </w:pPr>
          </w:p>
        </w:tc>
        <w:tc>
          <w:tcPr>
            <w:tcW w:w="2268" w:type="dxa"/>
          </w:tcPr>
          <w:p w:rsidR="00C71FCA" w:rsidRPr="00C71FCA" w:rsidRDefault="00C71FCA" w:rsidP="00C71FCA">
            <w:pPr>
              <w:jc w:val="both"/>
              <w:rPr>
                <w:sz w:val="20"/>
                <w:szCs w:val="10"/>
              </w:rPr>
            </w:pPr>
            <w:r w:rsidRPr="00C71FCA">
              <w:rPr>
                <w:sz w:val="20"/>
                <w:szCs w:val="10"/>
              </w:rPr>
              <w:t>Carsat Rhône-Alpes</w:t>
            </w:r>
          </w:p>
          <w:p w:rsidR="00C71FCA" w:rsidRPr="00C71FCA" w:rsidRDefault="00C71FCA" w:rsidP="00C71FCA">
            <w:pPr>
              <w:rPr>
                <w:sz w:val="20"/>
                <w:szCs w:val="10"/>
              </w:rPr>
            </w:pPr>
          </w:p>
        </w:tc>
        <w:tc>
          <w:tcPr>
            <w:tcW w:w="1276" w:type="dxa"/>
          </w:tcPr>
          <w:p w:rsidR="00C71FCA" w:rsidRPr="00BD6F57" w:rsidRDefault="006D1F77" w:rsidP="00C71FCA">
            <w:pPr>
              <w:jc w:val="center"/>
              <w:rPr>
                <w:sz w:val="20"/>
                <w:szCs w:val="10"/>
              </w:rPr>
            </w:pPr>
            <w:r>
              <w:rPr>
                <w:sz w:val="20"/>
                <w:szCs w:val="10"/>
              </w:rPr>
              <w:t>2017</w:t>
            </w:r>
          </w:p>
        </w:tc>
      </w:tr>
      <w:tr w:rsidR="006D1F77" w:rsidRPr="00BD6F57" w:rsidTr="006D1F77">
        <w:tc>
          <w:tcPr>
            <w:tcW w:w="2518" w:type="dxa"/>
            <w:tcBorders>
              <w:bottom w:val="single" w:sz="4" w:space="0" w:color="auto"/>
            </w:tcBorders>
          </w:tcPr>
          <w:p w:rsidR="006D1F77" w:rsidRPr="00C71FCA" w:rsidRDefault="00463332" w:rsidP="006D1F77">
            <w:pPr>
              <w:rPr>
                <w:sz w:val="20"/>
                <w:szCs w:val="10"/>
              </w:rPr>
            </w:pPr>
            <w:r>
              <w:rPr>
                <w:sz w:val="20"/>
                <w:szCs w:val="10"/>
              </w:rPr>
              <w:t xml:space="preserve">2.4.2.11 </w:t>
            </w:r>
            <w:r w:rsidR="006D1F77">
              <w:rPr>
                <w:sz w:val="20"/>
                <w:szCs w:val="10"/>
              </w:rPr>
              <w:t>Création d’outils pour faire évoluer les référentiels de compétences et les modules de formation des organismes de formation continue</w:t>
            </w:r>
          </w:p>
        </w:tc>
        <w:tc>
          <w:tcPr>
            <w:tcW w:w="2126" w:type="dxa"/>
          </w:tcPr>
          <w:p w:rsidR="006D1F77" w:rsidRPr="009767AB" w:rsidRDefault="006D1F77" w:rsidP="006D1F77">
            <w:pPr>
              <w:ind w:left="34"/>
              <w:jc w:val="both"/>
              <w:rPr>
                <w:sz w:val="20"/>
                <w:szCs w:val="10"/>
              </w:rPr>
            </w:pPr>
            <w:r>
              <w:rPr>
                <w:sz w:val="20"/>
                <w:szCs w:val="10"/>
              </w:rPr>
              <w:t>Organismes de formation continue</w:t>
            </w:r>
          </w:p>
        </w:tc>
        <w:tc>
          <w:tcPr>
            <w:tcW w:w="2835" w:type="dxa"/>
          </w:tcPr>
          <w:p w:rsidR="006D1F77" w:rsidRPr="006D1F77" w:rsidRDefault="006D1F77" w:rsidP="006D1F77">
            <w:pPr>
              <w:jc w:val="both"/>
              <w:rPr>
                <w:sz w:val="20"/>
                <w:szCs w:val="10"/>
              </w:rPr>
            </w:pPr>
          </w:p>
        </w:tc>
        <w:tc>
          <w:tcPr>
            <w:tcW w:w="2268" w:type="dxa"/>
          </w:tcPr>
          <w:p w:rsidR="006D1F77" w:rsidRPr="00C71FCA" w:rsidRDefault="006D1F77" w:rsidP="006D1F77">
            <w:pPr>
              <w:jc w:val="both"/>
              <w:rPr>
                <w:sz w:val="20"/>
                <w:szCs w:val="10"/>
              </w:rPr>
            </w:pPr>
            <w:r w:rsidRPr="00C71FCA">
              <w:rPr>
                <w:sz w:val="20"/>
                <w:szCs w:val="10"/>
              </w:rPr>
              <w:t>Carsat Rhône-Alpes</w:t>
            </w:r>
          </w:p>
          <w:p w:rsidR="006D1F77" w:rsidRPr="00C71FCA" w:rsidRDefault="006D1F77" w:rsidP="006D1F77">
            <w:pPr>
              <w:rPr>
                <w:sz w:val="20"/>
                <w:szCs w:val="10"/>
              </w:rPr>
            </w:pPr>
          </w:p>
        </w:tc>
        <w:tc>
          <w:tcPr>
            <w:tcW w:w="1276" w:type="dxa"/>
          </w:tcPr>
          <w:p w:rsidR="006D1F77" w:rsidRDefault="006D1F77" w:rsidP="006D1F77">
            <w:pPr>
              <w:jc w:val="center"/>
              <w:rPr>
                <w:sz w:val="20"/>
                <w:szCs w:val="10"/>
              </w:rPr>
            </w:pPr>
            <w:r>
              <w:rPr>
                <w:sz w:val="20"/>
                <w:szCs w:val="10"/>
              </w:rPr>
              <w:t>2017-2018</w:t>
            </w:r>
          </w:p>
        </w:tc>
      </w:tr>
      <w:tr w:rsidR="006D1F77" w:rsidRPr="00BD6F57" w:rsidTr="006D1F77">
        <w:tc>
          <w:tcPr>
            <w:tcW w:w="2518" w:type="dxa"/>
            <w:tcBorders>
              <w:bottom w:val="single" w:sz="4" w:space="0" w:color="auto"/>
            </w:tcBorders>
          </w:tcPr>
          <w:p w:rsidR="006D1F77" w:rsidRPr="00C71FCA" w:rsidRDefault="00463332" w:rsidP="006D1F77">
            <w:pPr>
              <w:rPr>
                <w:sz w:val="20"/>
                <w:szCs w:val="10"/>
              </w:rPr>
            </w:pPr>
            <w:r>
              <w:rPr>
                <w:sz w:val="20"/>
                <w:szCs w:val="10"/>
              </w:rPr>
              <w:t xml:space="preserve">2.4.2.12 </w:t>
            </w:r>
            <w:r w:rsidR="006D1F77">
              <w:rPr>
                <w:sz w:val="20"/>
                <w:szCs w:val="10"/>
              </w:rPr>
              <w:t xml:space="preserve">Faire l’état des </w:t>
            </w:r>
            <w:r w:rsidR="006D1F77">
              <w:rPr>
                <w:sz w:val="20"/>
                <w:szCs w:val="10"/>
              </w:rPr>
              <w:lastRenderedPageBreak/>
              <w:t>lieux des référentiels et modules de formation modifiés</w:t>
            </w:r>
          </w:p>
        </w:tc>
        <w:tc>
          <w:tcPr>
            <w:tcW w:w="2126" w:type="dxa"/>
          </w:tcPr>
          <w:p w:rsidR="006D1F77" w:rsidRPr="009767AB" w:rsidRDefault="006D1F77" w:rsidP="006D1F77">
            <w:pPr>
              <w:ind w:left="34"/>
              <w:jc w:val="both"/>
              <w:rPr>
                <w:sz w:val="20"/>
                <w:szCs w:val="10"/>
              </w:rPr>
            </w:pPr>
            <w:r>
              <w:rPr>
                <w:sz w:val="20"/>
                <w:szCs w:val="10"/>
              </w:rPr>
              <w:lastRenderedPageBreak/>
              <w:t xml:space="preserve">Organismes de </w:t>
            </w:r>
            <w:r>
              <w:rPr>
                <w:sz w:val="20"/>
                <w:szCs w:val="10"/>
              </w:rPr>
              <w:lastRenderedPageBreak/>
              <w:t>formation continue</w:t>
            </w:r>
          </w:p>
        </w:tc>
        <w:tc>
          <w:tcPr>
            <w:tcW w:w="2835" w:type="dxa"/>
          </w:tcPr>
          <w:p w:rsidR="006D1F77" w:rsidRPr="006D1F77" w:rsidRDefault="006D1F77" w:rsidP="006D1F77">
            <w:pPr>
              <w:jc w:val="both"/>
              <w:rPr>
                <w:sz w:val="20"/>
                <w:szCs w:val="10"/>
              </w:rPr>
            </w:pPr>
          </w:p>
        </w:tc>
        <w:tc>
          <w:tcPr>
            <w:tcW w:w="2268" w:type="dxa"/>
          </w:tcPr>
          <w:p w:rsidR="006D1F77" w:rsidRPr="00C71FCA" w:rsidRDefault="006D1F77" w:rsidP="006D1F77">
            <w:pPr>
              <w:jc w:val="both"/>
              <w:rPr>
                <w:sz w:val="20"/>
                <w:szCs w:val="10"/>
              </w:rPr>
            </w:pPr>
            <w:r w:rsidRPr="00C71FCA">
              <w:rPr>
                <w:sz w:val="20"/>
                <w:szCs w:val="10"/>
              </w:rPr>
              <w:t>Carsat Rhône-Alpes</w:t>
            </w:r>
          </w:p>
          <w:p w:rsidR="006D1F77" w:rsidRPr="00C71FCA" w:rsidRDefault="006D1F77" w:rsidP="006D1F77">
            <w:pPr>
              <w:rPr>
                <w:sz w:val="20"/>
                <w:szCs w:val="10"/>
              </w:rPr>
            </w:pPr>
          </w:p>
        </w:tc>
        <w:tc>
          <w:tcPr>
            <w:tcW w:w="1276" w:type="dxa"/>
          </w:tcPr>
          <w:p w:rsidR="006D1F77" w:rsidRDefault="006D1F77" w:rsidP="006D1F77">
            <w:pPr>
              <w:jc w:val="center"/>
              <w:rPr>
                <w:sz w:val="20"/>
                <w:szCs w:val="10"/>
              </w:rPr>
            </w:pPr>
            <w:r>
              <w:rPr>
                <w:sz w:val="20"/>
                <w:szCs w:val="10"/>
              </w:rPr>
              <w:lastRenderedPageBreak/>
              <w:t>2018</w:t>
            </w:r>
          </w:p>
        </w:tc>
      </w:tr>
      <w:tr w:rsidR="006D1F77" w:rsidRPr="00D0769B" w:rsidTr="009767AB">
        <w:tc>
          <w:tcPr>
            <w:tcW w:w="2518" w:type="dxa"/>
            <w:shd w:val="clear" w:color="auto" w:fill="FDE9D9" w:themeFill="accent6" w:themeFillTint="33"/>
          </w:tcPr>
          <w:p w:rsidR="006D1F77" w:rsidRPr="009A27F1" w:rsidRDefault="006D1F77" w:rsidP="006D1F77">
            <w:pPr>
              <w:jc w:val="both"/>
              <w:rPr>
                <w:sz w:val="20"/>
                <w:szCs w:val="10"/>
              </w:rPr>
            </w:pPr>
            <w:r>
              <w:rPr>
                <w:b/>
              </w:rPr>
              <w:lastRenderedPageBreak/>
              <w:t>Partenaires de l’action</w:t>
            </w:r>
          </w:p>
        </w:tc>
        <w:tc>
          <w:tcPr>
            <w:tcW w:w="8505" w:type="dxa"/>
            <w:gridSpan w:val="4"/>
          </w:tcPr>
          <w:p w:rsidR="006D1F77" w:rsidRPr="003E7230" w:rsidRDefault="006D1F77" w:rsidP="006D1F77">
            <w:pPr>
              <w:rPr>
                <w:color w:val="8DB3E2" w:themeColor="text2" w:themeTint="66"/>
                <w:sz w:val="20"/>
                <w:szCs w:val="10"/>
              </w:rPr>
            </w:pPr>
            <w:r>
              <w:rPr>
                <w:sz w:val="20"/>
                <w:szCs w:val="10"/>
              </w:rPr>
              <w:t>Ecoles d’enseignement supérieur, Carsat, Aract, Direccte, Région Auvergne –Rhône-Alpes, OPCA</w:t>
            </w:r>
          </w:p>
        </w:tc>
      </w:tr>
    </w:tbl>
    <w:p w:rsidR="00D5799A" w:rsidRDefault="00D5799A" w:rsidP="00D5799A">
      <w:pPr>
        <w:spacing w:after="0" w:line="240" w:lineRule="auto"/>
        <w:jc w:val="both"/>
        <w:rPr>
          <w:sz w:val="10"/>
          <w:szCs w:val="10"/>
        </w:rPr>
      </w:pPr>
    </w:p>
    <w:p w:rsidR="00C71FCA" w:rsidRDefault="00C71FCA" w:rsidP="00C212AE">
      <w:pPr>
        <w:spacing w:after="0" w:line="240" w:lineRule="auto"/>
        <w:rPr>
          <w:sz w:val="16"/>
          <w:szCs w:val="10"/>
        </w:rPr>
      </w:pPr>
    </w:p>
    <w:tbl>
      <w:tblPr>
        <w:tblStyle w:val="Grilledutableau"/>
        <w:tblW w:w="10881" w:type="dxa"/>
        <w:tblLayout w:type="fixed"/>
        <w:tblLook w:val="04A0" w:firstRow="1" w:lastRow="0" w:firstColumn="1" w:lastColumn="0" w:noHBand="0" w:noVBand="1"/>
      </w:tblPr>
      <w:tblGrid>
        <w:gridCol w:w="534"/>
        <w:gridCol w:w="3543"/>
        <w:gridCol w:w="3969"/>
        <w:gridCol w:w="2835"/>
      </w:tblGrid>
      <w:tr w:rsidR="00C71FCA" w:rsidRPr="0066041B" w:rsidTr="00FB75B6">
        <w:tc>
          <w:tcPr>
            <w:tcW w:w="534" w:type="dxa"/>
            <w:vMerge w:val="restart"/>
            <w:shd w:val="clear" w:color="auto" w:fill="DBE5F1" w:themeFill="accent1" w:themeFillTint="33"/>
            <w:textDirection w:val="btLr"/>
          </w:tcPr>
          <w:p w:rsidR="00C71FCA" w:rsidRPr="0066041B" w:rsidRDefault="00C71FCA" w:rsidP="00FB75B6">
            <w:pPr>
              <w:ind w:left="113" w:right="113"/>
              <w:jc w:val="center"/>
              <w:rPr>
                <w:b/>
              </w:rPr>
            </w:pPr>
            <w:r>
              <w:rPr>
                <w:b/>
              </w:rPr>
              <w:t>Evaluation de l’action</w:t>
            </w:r>
          </w:p>
        </w:tc>
        <w:tc>
          <w:tcPr>
            <w:tcW w:w="3543" w:type="dxa"/>
            <w:shd w:val="clear" w:color="auto" w:fill="DBE5F1" w:themeFill="accent1" w:themeFillTint="33"/>
          </w:tcPr>
          <w:p w:rsidR="00C71FCA" w:rsidRPr="0066041B" w:rsidRDefault="00C71FCA" w:rsidP="00FB75B6">
            <w:pPr>
              <w:jc w:val="center"/>
              <w:rPr>
                <w:b/>
              </w:rPr>
            </w:pPr>
            <w:r w:rsidRPr="0066041B">
              <w:rPr>
                <w:b/>
              </w:rPr>
              <w:t>Critères d’évaluation</w:t>
            </w:r>
          </w:p>
        </w:tc>
        <w:tc>
          <w:tcPr>
            <w:tcW w:w="3969" w:type="dxa"/>
            <w:shd w:val="clear" w:color="auto" w:fill="DBE5F1" w:themeFill="accent1" w:themeFillTint="33"/>
          </w:tcPr>
          <w:p w:rsidR="00C71FCA" w:rsidRPr="0066041B" w:rsidRDefault="00C71FCA" w:rsidP="00FB75B6">
            <w:pPr>
              <w:jc w:val="center"/>
              <w:rPr>
                <w:b/>
                <w:i/>
              </w:rPr>
            </w:pPr>
            <w:r w:rsidRPr="0066041B">
              <w:rPr>
                <w:b/>
              </w:rPr>
              <w:t>Indicateurs</w:t>
            </w:r>
          </w:p>
        </w:tc>
        <w:tc>
          <w:tcPr>
            <w:tcW w:w="2835" w:type="dxa"/>
            <w:shd w:val="clear" w:color="auto" w:fill="DBE5F1" w:themeFill="accent1" w:themeFillTint="33"/>
          </w:tcPr>
          <w:p w:rsidR="00C71FCA" w:rsidRPr="0066041B" w:rsidRDefault="00C71FCA" w:rsidP="00FB75B6">
            <w:pPr>
              <w:jc w:val="center"/>
              <w:rPr>
                <w:b/>
              </w:rPr>
            </w:pPr>
            <w:r w:rsidRPr="0066041B">
              <w:rPr>
                <w:b/>
              </w:rPr>
              <w:t>Source</w:t>
            </w:r>
          </w:p>
        </w:tc>
      </w:tr>
      <w:tr w:rsidR="00C71FCA" w:rsidRPr="0031013E" w:rsidTr="00FB75B6">
        <w:tc>
          <w:tcPr>
            <w:tcW w:w="534" w:type="dxa"/>
            <w:vMerge/>
          </w:tcPr>
          <w:p w:rsidR="00C71FCA" w:rsidRPr="00CB2B3D" w:rsidRDefault="00C71FCA" w:rsidP="00FB75B6">
            <w:pPr>
              <w:rPr>
                <w:sz w:val="20"/>
                <w:szCs w:val="10"/>
              </w:rPr>
            </w:pPr>
          </w:p>
        </w:tc>
        <w:tc>
          <w:tcPr>
            <w:tcW w:w="3543" w:type="dxa"/>
          </w:tcPr>
          <w:p w:rsidR="00C71FCA" w:rsidRPr="00CB2B3D" w:rsidRDefault="006D1F77" w:rsidP="00FB75B6">
            <w:pPr>
              <w:rPr>
                <w:sz w:val="20"/>
                <w:szCs w:val="10"/>
              </w:rPr>
            </w:pPr>
            <w:r>
              <w:rPr>
                <w:sz w:val="20"/>
                <w:szCs w:val="10"/>
              </w:rPr>
              <w:t>Ecoles d’ingénieurs et de management impliquées dans l’action</w:t>
            </w:r>
          </w:p>
        </w:tc>
        <w:tc>
          <w:tcPr>
            <w:tcW w:w="3969" w:type="dxa"/>
          </w:tcPr>
          <w:p w:rsidR="00C71FCA" w:rsidRPr="00CB2B3D" w:rsidRDefault="006D1F77" w:rsidP="00FB75B6">
            <w:pPr>
              <w:jc w:val="both"/>
              <w:rPr>
                <w:sz w:val="20"/>
                <w:szCs w:val="10"/>
              </w:rPr>
            </w:pPr>
            <w:r>
              <w:rPr>
                <w:sz w:val="20"/>
                <w:szCs w:val="10"/>
              </w:rPr>
              <w:t>Nombre d’écoles impliquées</w:t>
            </w:r>
          </w:p>
        </w:tc>
        <w:tc>
          <w:tcPr>
            <w:tcW w:w="2835" w:type="dxa"/>
          </w:tcPr>
          <w:p w:rsidR="00C71FCA" w:rsidRDefault="006D1F77" w:rsidP="00FB75B6">
            <w:pPr>
              <w:jc w:val="both"/>
              <w:rPr>
                <w:sz w:val="20"/>
                <w:szCs w:val="10"/>
              </w:rPr>
            </w:pPr>
            <w:r>
              <w:rPr>
                <w:sz w:val="20"/>
                <w:szCs w:val="10"/>
              </w:rPr>
              <w:t>Listes de l’ECAM</w:t>
            </w:r>
          </w:p>
          <w:p w:rsidR="006D1F77" w:rsidRPr="00CB2B3D" w:rsidRDefault="006D1F77" w:rsidP="00FB75B6">
            <w:pPr>
              <w:jc w:val="both"/>
              <w:rPr>
                <w:sz w:val="20"/>
                <w:szCs w:val="10"/>
              </w:rPr>
            </w:pPr>
            <w:r>
              <w:rPr>
                <w:sz w:val="20"/>
                <w:szCs w:val="10"/>
              </w:rPr>
              <w:t>Feuille d’émargement des rencontres</w:t>
            </w:r>
          </w:p>
        </w:tc>
      </w:tr>
      <w:tr w:rsidR="00C71FCA" w:rsidRPr="0031013E" w:rsidTr="00FB75B6">
        <w:tc>
          <w:tcPr>
            <w:tcW w:w="534" w:type="dxa"/>
            <w:vMerge/>
          </w:tcPr>
          <w:p w:rsidR="00C71FCA" w:rsidRDefault="00C71FCA" w:rsidP="00FB75B6">
            <w:pPr>
              <w:rPr>
                <w:sz w:val="20"/>
              </w:rPr>
            </w:pPr>
          </w:p>
        </w:tc>
        <w:tc>
          <w:tcPr>
            <w:tcW w:w="3543" w:type="dxa"/>
          </w:tcPr>
          <w:p w:rsidR="00C71FCA" w:rsidRPr="00CB2B3D" w:rsidRDefault="006D1F77" w:rsidP="00FB75B6">
            <w:pPr>
              <w:rPr>
                <w:sz w:val="20"/>
              </w:rPr>
            </w:pPr>
            <w:r>
              <w:rPr>
                <w:sz w:val="20"/>
                <w:szCs w:val="10"/>
              </w:rPr>
              <w:t>Création effective d’outils pour faire évoluer les référentiels de compétences et les modules de formation des écoles d’ingénieur et de management</w:t>
            </w:r>
          </w:p>
        </w:tc>
        <w:tc>
          <w:tcPr>
            <w:tcW w:w="3969" w:type="dxa"/>
          </w:tcPr>
          <w:p w:rsidR="00C71FCA" w:rsidRDefault="006D1F77" w:rsidP="00FB75B6">
            <w:pPr>
              <w:jc w:val="both"/>
              <w:rPr>
                <w:sz w:val="20"/>
              </w:rPr>
            </w:pPr>
            <w:r>
              <w:rPr>
                <w:sz w:val="20"/>
              </w:rPr>
              <w:t>Nombre d’outils</w:t>
            </w:r>
          </w:p>
          <w:p w:rsidR="006D1F77" w:rsidRPr="00CB2B3D" w:rsidRDefault="006D1F77" w:rsidP="00FB75B6">
            <w:pPr>
              <w:jc w:val="both"/>
              <w:rPr>
                <w:sz w:val="20"/>
              </w:rPr>
            </w:pPr>
            <w:r>
              <w:rPr>
                <w:sz w:val="20"/>
              </w:rPr>
              <w:t>Nature des outils</w:t>
            </w:r>
          </w:p>
        </w:tc>
        <w:tc>
          <w:tcPr>
            <w:tcW w:w="2835" w:type="dxa"/>
          </w:tcPr>
          <w:p w:rsidR="00C71FCA" w:rsidRPr="00CB2B3D" w:rsidRDefault="006D1F77" w:rsidP="00FB75B6">
            <w:pPr>
              <w:jc w:val="both"/>
              <w:rPr>
                <w:sz w:val="20"/>
              </w:rPr>
            </w:pPr>
            <w:r>
              <w:rPr>
                <w:sz w:val="20"/>
              </w:rPr>
              <w:t>Information fournie par l’ECAM</w:t>
            </w:r>
          </w:p>
        </w:tc>
      </w:tr>
      <w:tr w:rsidR="006D1F77" w:rsidRPr="0031013E" w:rsidTr="00FB75B6">
        <w:tc>
          <w:tcPr>
            <w:tcW w:w="534" w:type="dxa"/>
            <w:vMerge/>
          </w:tcPr>
          <w:p w:rsidR="006D1F77" w:rsidRDefault="006D1F77" w:rsidP="006D1F77">
            <w:pPr>
              <w:rPr>
                <w:sz w:val="20"/>
              </w:rPr>
            </w:pPr>
          </w:p>
        </w:tc>
        <w:tc>
          <w:tcPr>
            <w:tcW w:w="3543" w:type="dxa"/>
          </w:tcPr>
          <w:p w:rsidR="006D1F77" w:rsidRPr="00CB2B3D" w:rsidRDefault="006D1F77" w:rsidP="006D1F77">
            <w:pPr>
              <w:rPr>
                <w:sz w:val="20"/>
              </w:rPr>
            </w:pPr>
            <w:r>
              <w:rPr>
                <w:sz w:val="20"/>
                <w:szCs w:val="10"/>
              </w:rPr>
              <w:t>Référentiels et modules de formation effectivement modifiés dans les écoles d’ingénieur et de management</w:t>
            </w:r>
          </w:p>
        </w:tc>
        <w:tc>
          <w:tcPr>
            <w:tcW w:w="3969" w:type="dxa"/>
          </w:tcPr>
          <w:p w:rsidR="006D1F77" w:rsidRDefault="006D1F77" w:rsidP="006D1F77">
            <w:pPr>
              <w:jc w:val="both"/>
              <w:rPr>
                <w:sz w:val="20"/>
              </w:rPr>
            </w:pPr>
            <w:r>
              <w:rPr>
                <w:sz w:val="20"/>
              </w:rPr>
              <w:t>Nombre de référentiels modifiés</w:t>
            </w:r>
          </w:p>
          <w:p w:rsidR="006D1F77" w:rsidRDefault="006D1F77" w:rsidP="006D1F77">
            <w:pPr>
              <w:jc w:val="both"/>
              <w:rPr>
                <w:sz w:val="20"/>
              </w:rPr>
            </w:pPr>
            <w:r>
              <w:rPr>
                <w:sz w:val="20"/>
              </w:rPr>
              <w:t>Nombre de modules modifiés/intégrés</w:t>
            </w:r>
          </w:p>
          <w:p w:rsidR="006D1F77" w:rsidRPr="00CB2B3D" w:rsidRDefault="006D1F77" w:rsidP="006D1F77">
            <w:pPr>
              <w:jc w:val="both"/>
              <w:rPr>
                <w:sz w:val="20"/>
              </w:rPr>
            </w:pPr>
            <w:r>
              <w:rPr>
                <w:sz w:val="20"/>
              </w:rPr>
              <w:t>Nombre d’écoles concernées</w:t>
            </w:r>
          </w:p>
        </w:tc>
        <w:tc>
          <w:tcPr>
            <w:tcW w:w="2835" w:type="dxa"/>
          </w:tcPr>
          <w:p w:rsidR="006D1F77" w:rsidRPr="00CB2B3D" w:rsidRDefault="006D1F77" w:rsidP="006D1F77">
            <w:pPr>
              <w:jc w:val="both"/>
              <w:rPr>
                <w:sz w:val="20"/>
              </w:rPr>
            </w:pPr>
            <w:r>
              <w:rPr>
                <w:sz w:val="20"/>
              </w:rPr>
              <w:t>Information fournie par l’ECAM</w:t>
            </w:r>
          </w:p>
        </w:tc>
      </w:tr>
      <w:tr w:rsidR="006D1F77" w:rsidRPr="0031013E" w:rsidTr="00FB75B6">
        <w:tc>
          <w:tcPr>
            <w:tcW w:w="534" w:type="dxa"/>
            <w:vMerge/>
          </w:tcPr>
          <w:p w:rsidR="006D1F77" w:rsidRDefault="006D1F77" w:rsidP="006D1F77">
            <w:pPr>
              <w:rPr>
                <w:sz w:val="20"/>
              </w:rPr>
            </w:pPr>
          </w:p>
        </w:tc>
        <w:tc>
          <w:tcPr>
            <w:tcW w:w="3543" w:type="dxa"/>
          </w:tcPr>
          <w:p w:rsidR="006D1F77" w:rsidRPr="00CB2B3D" w:rsidRDefault="006D1F77" w:rsidP="006D1F77">
            <w:pPr>
              <w:rPr>
                <w:sz w:val="20"/>
              </w:rPr>
            </w:pPr>
            <w:r>
              <w:rPr>
                <w:sz w:val="20"/>
              </w:rPr>
              <w:t>Organismes de formation continue impliqués dans l’action</w:t>
            </w:r>
          </w:p>
        </w:tc>
        <w:tc>
          <w:tcPr>
            <w:tcW w:w="3969" w:type="dxa"/>
          </w:tcPr>
          <w:p w:rsidR="006D1F77" w:rsidRPr="00CB2B3D" w:rsidRDefault="006D1F77" w:rsidP="006D1F77">
            <w:pPr>
              <w:jc w:val="both"/>
              <w:rPr>
                <w:sz w:val="20"/>
              </w:rPr>
            </w:pPr>
            <w:r>
              <w:rPr>
                <w:sz w:val="20"/>
              </w:rPr>
              <w:t>Nombre d’OF impliqués</w:t>
            </w:r>
          </w:p>
        </w:tc>
        <w:tc>
          <w:tcPr>
            <w:tcW w:w="2835" w:type="dxa"/>
          </w:tcPr>
          <w:p w:rsidR="006D1F77" w:rsidRDefault="006D1F77" w:rsidP="006D1F77">
            <w:pPr>
              <w:jc w:val="both"/>
              <w:rPr>
                <w:sz w:val="20"/>
                <w:szCs w:val="10"/>
              </w:rPr>
            </w:pPr>
            <w:r>
              <w:rPr>
                <w:sz w:val="20"/>
                <w:szCs w:val="10"/>
              </w:rPr>
              <w:t>Listes de la Carsat</w:t>
            </w:r>
          </w:p>
          <w:p w:rsidR="006D1F77" w:rsidRPr="00CB2B3D" w:rsidRDefault="006D1F77" w:rsidP="006D1F77">
            <w:pPr>
              <w:jc w:val="both"/>
              <w:rPr>
                <w:sz w:val="20"/>
                <w:szCs w:val="10"/>
              </w:rPr>
            </w:pPr>
            <w:r>
              <w:rPr>
                <w:sz w:val="20"/>
                <w:szCs w:val="10"/>
              </w:rPr>
              <w:t>Feuille d’émargement des rencontres</w:t>
            </w:r>
          </w:p>
        </w:tc>
      </w:tr>
      <w:tr w:rsidR="006D1F77" w:rsidRPr="0031013E" w:rsidTr="00FB75B6">
        <w:tc>
          <w:tcPr>
            <w:tcW w:w="534" w:type="dxa"/>
            <w:vMerge/>
          </w:tcPr>
          <w:p w:rsidR="006D1F77" w:rsidRDefault="006D1F77" w:rsidP="006D1F77">
            <w:pPr>
              <w:rPr>
                <w:sz w:val="20"/>
              </w:rPr>
            </w:pPr>
          </w:p>
        </w:tc>
        <w:tc>
          <w:tcPr>
            <w:tcW w:w="3543" w:type="dxa"/>
          </w:tcPr>
          <w:p w:rsidR="006D1F77" w:rsidRPr="00CB2B3D" w:rsidRDefault="006D1F77" w:rsidP="006D1F77">
            <w:pPr>
              <w:rPr>
                <w:sz w:val="20"/>
              </w:rPr>
            </w:pPr>
            <w:r>
              <w:rPr>
                <w:sz w:val="20"/>
                <w:szCs w:val="10"/>
              </w:rPr>
              <w:t>Création effective d’outils pour faire évoluer les référentiels de compétences et les modules de formation des organismes de formation continue</w:t>
            </w:r>
          </w:p>
        </w:tc>
        <w:tc>
          <w:tcPr>
            <w:tcW w:w="3969" w:type="dxa"/>
          </w:tcPr>
          <w:p w:rsidR="006D1F77" w:rsidRDefault="006D1F77" w:rsidP="006D1F77">
            <w:pPr>
              <w:jc w:val="both"/>
              <w:rPr>
                <w:sz w:val="20"/>
              </w:rPr>
            </w:pPr>
            <w:r>
              <w:rPr>
                <w:sz w:val="20"/>
              </w:rPr>
              <w:t>Nombre d’outils</w:t>
            </w:r>
          </w:p>
          <w:p w:rsidR="006D1F77" w:rsidRPr="00CB2B3D" w:rsidRDefault="006D1F77" w:rsidP="006D1F77">
            <w:pPr>
              <w:jc w:val="both"/>
              <w:rPr>
                <w:sz w:val="20"/>
              </w:rPr>
            </w:pPr>
            <w:r>
              <w:rPr>
                <w:sz w:val="20"/>
              </w:rPr>
              <w:t>Nature des outils</w:t>
            </w:r>
          </w:p>
        </w:tc>
        <w:tc>
          <w:tcPr>
            <w:tcW w:w="2835" w:type="dxa"/>
          </w:tcPr>
          <w:p w:rsidR="006D1F77" w:rsidRPr="00CB2B3D" w:rsidRDefault="006D1F77" w:rsidP="006D1F77">
            <w:pPr>
              <w:jc w:val="both"/>
              <w:rPr>
                <w:sz w:val="20"/>
              </w:rPr>
            </w:pPr>
            <w:r>
              <w:rPr>
                <w:sz w:val="20"/>
              </w:rPr>
              <w:t>Information fournie par la Carsat</w:t>
            </w:r>
          </w:p>
        </w:tc>
      </w:tr>
      <w:tr w:rsidR="0052037E" w:rsidRPr="0031013E" w:rsidTr="00FB75B6">
        <w:tc>
          <w:tcPr>
            <w:tcW w:w="534" w:type="dxa"/>
            <w:vMerge/>
          </w:tcPr>
          <w:p w:rsidR="0052037E" w:rsidRDefault="0052037E" w:rsidP="0052037E">
            <w:pPr>
              <w:rPr>
                <w:sz w:val="20"/>
              </w:rPr>
            </w:pPr>
          </w:p>
        </w:tc>
        <w:tc>
          <w:tcPr>
            <w:tcW w:w="3543" w:type="dxa"/>
          </w:tcPr>
          <w:p w:rsidR="0052037E" w:rsidRDefault="0052037E" w:rsidP="0052037E">
            <w:pPr>
              <w:rPr>
                <w:sz w:val="20"/>
              </w:rPr>
            </w:pPr>
            <w:r>
              <w:rPr>
                <w:sz w:val="20"/>
                <w:szCs w:val="10"/>
              </w:rPr>
              <w:t>Référentiels et modules de formation continue effectivement modifiés</w:t>
            </w:r>
          </w:p>
        </w:tc>
        <w:tc>
          <w:tcPr>
            <w:tcW w:w="3969" w:type="dxa"/>
          </w:tcPr>
          <w:p w:rsidR="0052037E" w:rsidRDefault="0052037E" w:rsidP="0052037E">
            <w:pPr>
              <w:jc w:val="both"/>
              <w:rPr>
                <w:sz w:val="20"/>
              </w:rPr>
            </w:pPr>
            <w:r>
              <w:rPr>
                <w:sz w:val="20"/>
              </w:rPr>
              <w:t>Nombre de référentiels modifiés</w:t>
            </w:r>
          </w:p>
          <w:p w:rsidR="0052037E" w:rsidRDefault="0052037E" w:rsidP="0052037E">
            <w:pPr>
              <w:jc w:val="both"/>
              <w:rPr>
                <w:sz w:val="20"/>
              </w:rPr>
            </w:pPr>
            <w:r>
              <w:rPr>
                <w:sz w:val="20"/>
              </w:rPr>
              <w:t>Nombre de modules modifiés/intégrés</w:t>
            </w:r>
          </w:p>
          <w:p w:rsidR="0052037E" w:rsidRPr="00CB2B3D" w:rsidRDefault="0052037E" w:rsidP="0052037E">
            <w:pPr>
              <w:jc w:val="both"/>
              <w:rPr>
                <w:sz w:val="20"/>
              </w:rPr>
            </w:pPr>
            <w:r>
              <w:rPr>
                <w:sz w:val="20"/>
              </w:rPr>
              <w:t>Nombre d’OF concernés</w:t>
            </w:r>
          </w:p>
        </w:tc>
        <w:tc>
          <w:tcPr>
            <w:tcW w:w="2835" w:type="dxa"/>
          </w:tcPr>
          <w:p w:rsidR="0052037E" w:rsidRPr="00CB2B3D" w:rsidRDefault="0052037E" w:rsidP="0052037E">
            <w:pPr>
              <w:jc w:val="both"/>
              <w:rPr>
                <w:sz w:val="20"/>
              </w:rPr>
            </w:pPr>
            <w:r>
              <w:rPr>
                <w:sz w:val="20"/>
              </w:rPr>
              <w:t>Information fournie par la Carsat</w:t>
            </w:r>
          </w:p>
        </w:tc>
      </w:tr>
    </w:tbl>
    <w:p w:rsidR="00C71FCA" w:rsidRDefault="00C71FCA" w:rsidP="00D5799A">
      <w:pPr>
        <w:spacing w:after="0" w:line="240" w:lineRule="auto"/>
        <w:jc w:val="both"/>
        <w:rPr>
          <w:sz w:val="10"/>
          <w:szCs w:val="10"/>
        </w:rPr>
      </w:pPr>
    </w:p>
    <w:p w:rsidR="00C71FCA" w:rsidRDefault="00C71FCA" w:rsidP="00D5799A">
      <w:pPr>
        <w:spacing w:after="0" w:line="240" w:lineRule="auto"/>
        <w:jc w:val="both"/>
        <w:rPr>
          <w:sz w:val="10"/>
          <w:szCs w:val="10"/>
        </w:rPr>
      </w:pPr>
    </w:p>
    <w:p w:rsidR="00687C39" w:rsidRDefault="00687C39" w:rsidP="00D5799A">
      <w:pPr>
        <w:spacing w:after="0" w:line="240" w:lineRule="auto"/>
        <w:jc w:val="both"/>
        <w:rPr>
          <w:sz w:val="10"/>
          <w:szCs w:val="10"/>
        </w:rPr>
      </w:pPr>
    </w:p>
    <w:tbl>
      <w:tblPr>
        <w:tblStyle w:val="Grilledutableau"/>
        <w:tblW w:w="11070" w:type="dxa"/>
        <w:tblLayout w:type="fixed"/>
        <w:tblLook w:val="04A0" w:firstRow="1" w:lastRow="0" w:firstColumn="1" w:lastColumn="0" w:noHBand="0" w:noVBand="1"/>
      </w:tblPr>
      <w:tblGrid>
        <w:gridCol w:w="2518"/>
        <w:gridCol w:w="1559"/>
        <w:gridCol w:w="3261"/>
        <w:gridCol w:w="2409"/>
        <w:gridCol w:w="1312"/>
        <w:gridCol w:w="11"/>
      </w:tblGrid>
      <w:tr w:rsidR="009767AB" w:rsidRPr="009A27F1" w:rsidTr="009767AB">
        <w:trPr>
          <w:gridAfter w:val="1"/>
          <w:wAfter w:w="11" w:type="dxa"/>
        </w:trPr>
        <w:tc>
          <w:tcPr>
            <w:tcW w:w="11059" w:type="dxa"/>
            <w:gridSpan w:val="5"/>
            <w:tcBorders>
              <w:bottom w:val="single" w:sz="4" w:space="0" w:color="auto"/>
            </w:tcBorders>
            <w:shd w:val="clear" w:color="auto" w:fill="DBE5F1" w:themeFill="accent1" w:themeFillTint="33"/>
          </w:tcPr>
          <w:p w:rsidR="00E3350F" w:rsidRPr="00E3350F" w:rsidRDefault="009767AB" w:rsidP="00C2463F">
            <w:pPr>
              <w:jc w:val="center"/>
              <w:rPr>
                <w:b/>
                <w:sz w:val="20"/>
                <w:szCs w:val="20"/>
              </w:rPr>
            </w:pPr>
            <w:r w:rsidRPr="00E3350F">
              <w:rPr>
                <w:b/>
                <w:sz w:val="20"/>
                <w:szCs w:val="20"/>
              </w:rPr>
              <w:br w:type="page"/>
              <w:t>Objectif spécifique III</w:t>
            </w:r>
          </w:p>
          <w:p w:rsidR="009767AB" w:rsidRPr="00E3350F" w:rsidRDefault="00E3350F" w:rsidP="00C2463F">
            <w:pPr>
              <w:jc w:val="center"/>
              <w:rPr>
                <w:b/>
                <w:color w:val="000000" w:themeColor="text1"/>
                <w:sz w:val="20"/>
                <w:szCs w:val="20"/>
              </w:rPr>
            </w:pPr>
            <w:r w:rsidRPr="00E3350F">
              <w:rPr>
                <w:b/>
                <w:color w:val="000000" w:themeColor="text1"/>
                <w:sz w:val="20"/>
                <w:szCs w:val="20"/>
              </w:rPr>
              <w:t>Animer, professionnaliser et mettre en dynamique les acteurs du projet en vue d’une pérennisation et d’un déploiement de l’action</w:t>
            </w:r>
          </w:p>
        </w:tc>
      </w:tr>
      <w:tr w:rsidR="009767AB" w:rsidRPr="00EB104C" w:rsidTr="009767AB">
        <w:trPr>
          <w:gridAfter w:val="1"/>
          <w:wAfter w:w="11" w:type="dxa"/>
        </w:trPr>
        <w:tc>
          <w:tcPr>
            <w:tcW w:w="11059" w:type="dxa"/>
            <w:gridSpan w:val="5"/>
            <w:shd w:val="clear" w:color="auto" w:fill="FDE9D9" w:themeFill="accent6" w:themeFillTint="33"/>
          </w:tcPr>
          <w:p w:rsidR="009767AB" w:rsidRPr="00C212AE" w:rsidRDefault="009767AB" w:rsidP="00C212AE">
            <w:pPr>
              <w:jc w:val="center"/>
              <w:rPr>
                <w:b/>
                <w:sz w:val="20"/>
                <w:szCs w:val="10"/>
              </w:rPr>
            </w:pPr>
            <w:r w:rsidRPr="00EB104C">
              <w:rPr>
                <w:b/>
                <w:sz w:val="20"/>
                <w:szCs w:val="10"/>
              </w:rPr>
              <w:t>Description des activités</w:t>
            </w:r>
          </w:p>
        </w:tc>
      </w:tr>
      <w:tr w:rsidR="009767AB" w:rsidRPr="00CF383E" w:rsidTr="009767AB">
        <w:tc>
          <w:tcPr>
            <w:tcW w:w="2518" w:type="dxa"/>
            <w:shd w:val="clear" w:color="auto" w:fill="FDE9D9" w:themeFill="accent6" w:themeFillTint="33"/>
          </w:tcPr>
          <w:p w:rsidR="009767AB" w:rsidRPr="00CF383E" w:rsidRDefault="009767AB" w:rsidP="007F1153">
            <w:pPr>
              <w:jc w:val="center"/>
              <w:rPr>
                <w:b/>
                <w:sz w:val="20"/>
                <w:szCs w:val="10"/>
              </w:rPr>
            </w:pPr>
            <w:r>
              <w:rPr>
                <w:b/>
                <w:sz w:val="20"/>
                <w:szCs w:val="10"/>
              </w:rPr>
              <w:t>Actions</w:t>
            </w:r>
          </w:p>
        </w:tc>
        <w:tc>
          <w:tcPr>
            <w:tcW w:w="1559" w:type="dxa"/>
            <w:shd w:val="clear" w:color="auto" w:fill="FDE9D9" w:themeFill="accent6" w:themeFillTint="33"/>
          </w:tcPr>
          <w:p w:rsidR="009767AB" w:rsidRPr="00CF383E" w:rsidRDefault="009767AB" w:rsidP="007F1153">
            <w:pPr>
              <w:jc w:val="center"/>
              <w:rPr>
                <w:b/>
                <w:sz w:val="20"/>
                <w:szCs w:val="10"/>
              </w:rPr>
            </w:pPr>
            <w:r>
              <w:rPr>
                <w:b/>
                <w:sz w:val="20"/>
                <w:szCs w:val="10"/>
              </w:rPr>
              <w:t>Cibles</w:t>
            </w:r>
          </w:p>
        </w:tc>
        <w:tc>
          <w:tcPr>
            <w:tcW w:w="3261" w:type="dxa"/>
            <w:shd w:val="clear" w:color="auto" w:fill="FDE9D9" w:themeFill="accent6" w:themeFillTint="33"/>
          </w:tcPr>
          <w:p w:rsidR="009767AB" w:rsidRPr="00CF383E" w:rsidRDefault="009767AB" w:rsidP="007F1153">
            <w:pPr>
              <w:jc w:val="center"/>
              <w:rPr>
                <w:b/>
                <w:sz w:val="20"/>
                <w:szCs w:val="10"/>
              </w:rPr>
            </w:pPr>
            <w:r w:rsidRPr="00CF383E">
              <w:rPr>
                <w:b/>
                <w:sz w:val="20"/>
                <w:szCs w:val="10"/>
              </w:rPr>
              <w:t>Méthodologie</w:t>
            </w:r>
          </w:p>
        </w:tc>
        <w:tc>
          <w:tcPr>
            <w:tcW w:w="2409" w:type="dxa"/>
            <w:shd w:val="clear" w:color="auto" w:fill="FDE9D9" w:themeFill="accent6" w:themeFillTint="33"/>
          </w:tcPr>
          <w:p w:rsidR="009767AB" w:rsidRPr="00CF383E" w:rsidRDefault="00CA1FA5" w:rsidP="007F1153">
            <w:pPr>
              <w:jc w:val="center"/>
              <w:rPr>
                <w:b/>
                <w:sz w:val="20"/>
                <w:szCs w:val="10"/>
              </w:rPr>
            </w:pPr>
            <w:r>
              <w:rPr>
                <w:b/>
                <w:sz w:val="20"/>
                <w:szCs w:val="10"/>
              </w:rPr>
              <w:t>Responsable</w:t>
            </w:r>
          </w:p>
        </w:tc>
        <w:tc>
          <w:tcPr>
            <w:tcW w:w="1323" w:type="dxa"/>
            <w:gridSpan w:val="2"/>
            <w:shd w:val="clear" w:color="auto" w:fill="FDE9D9" w:themeFill="accent6" w:themeFillTint="33"/>
          </w:tcPr>
          <w:p w:rsidR="009767AB" w:rsidRPr="00CF383E" w:rsidRDefault="009767AB" w:rsidP="007F1153">
            <w:pPr>
              <w:jc w:val="center"/>
              <w:rPr>
                <w:b/>
                <w:sz w:val="20"/>
                <w:szCs w:val="10"/>
              </w:rPr>
            </w:pPr>
            <w:r>
              <w:rPr>
                <w:b/>
                <w:sz w:val="20"/>
                <w:szCs w:val="10"/>
              </w:rPr>
              <w:t>Echéances</w:t>
            </w:r>
          </w:p>
        </w:tc>
      </w:tr>
      <w:tr w:rsidR="00CA1FA5" w:rsidRPr="00BD6F57" w:rsidTr="009767AB">
        <w:trPr>
          <w:gridAfter w:val="1"/>
          <w:wAfter w:w="11" w:type="dxa"/>
        </w:trPr>
        <w:tc>
          <w:tcPr>
            <w:tcW w:w="2518" w:type="dxa"/>
            <w:tcBorders>
              <w:bottom w:val="single" w:sz="4" w:space="0" w:color="auto"/>
            </w:tcBorders>
          </w:tcPr>
          <w:p w:rsidR="00CA1FA5" w:rsidRPr="00CA1FA5" w:rsidRDefault="00463332" w:rsidP="007F1153">
            <w:pPr>
              <w:rPr>
                <w:sz w:val="20"/>
                <w:szCs w:val="10"/>
              </w:rPr>
            </w:pPr>
            <w:r>
              <w:rPr>
                <w:sz w:val="20"/>
                <w:szCs w:val="10"/>
              </w:rPr>
              <w:t xml:space="preserve">2.4.2.13 </w:t>
            </w:r>
            <w:r w:rsidR="00CA1FA5" w:rsidRPr="00CA1FA5">
              <w:rPr>
                <w:sz w:val="20"/>
                <w:szCs w:val="10"/>
              </w:rPr>
              <w:t xml:space="preserve">Elaboration </w:t>
            </w:r>
            <w:r w:rsidR="00CA1FA5">
              <w:rPr>
                <w:sz w:val="20"/>
                <w:szCs w:val="10"/>
              </w:rPr>
              <w:t>d’un corpus</w:t>
            </w:r>
            <w:r w:rsidR="00E20CBF">
              <w:rPr>
                <w:sz w:val="20"/>
                <w:szCs w:val="10"/>
              </w:rPr>
              <w:t xml:space="preserve"> pa</w:t>
            </w:r>
            <w:r>
              <w:rPr>
                <w:sz w:val="20"/>
                <w:szCs w:val="10"/>
              </w:rPr>
              <w:t xml:space="preserve">rtagé de référence en matière de </w:t>
            </w:r>
            <w:r w:rsidR="00E20CBF">
              <w:rPr>
                <w:sz w:val="20"/>
                <w:szCs w:val="10"/>
              </w:rPr>
              <w:t>SQVTPG</w:t>
            </w:r>
          </w:p>
        </w:tc>
        <w:tc>
          <w:tcPr>
            <w:tcW w:w="1559" w:type="dxa"/>
          </w:tcPr>
          <w:p w:rsidR="00CA1FA5" w:rsidRPr="009767AB" w:rsidRDefault="00E20CBF" w:rsidP="009767AB">
            <w:pPr>
              <w:ind w:left="34"/>
              <w:jc w:val="both"/>
              <w:rPr>
                <w:sz w:val="20"/>
                <w:szCs w:val="10"/>
              </w:rPr>
            </w:pPr>
            <w:r>
              <w:rPr>
                <w:sz w:val="20"/>
                <w:szCs w:val="10"/>
              </w:rPr>
              <w:t>Acteurs du projet</w:t>
            </w:r>
          </w:p>
        </w:tc>
        <w:tc>
          <w:tcPr>
            <w:tcW w:w="3261" w:type="dxa"/>
          </w:tcPr>
          <w:p w:rsidR="00CA1FA5" w:rsidRDefault="00E20CBF" w:rsidP="00E20CBF">
            <w:pPr>
              <w:jc w:val="both"/>
              <w:rPr>
                <w:sz w:val="20"/>
                <w:szCs w:val="10"/>
              </w:rPr>
            </w:pPr>
            <w:r>
              <w:rPr>
                <w:sz w:val="20"/>
                <w:szCs w:val="10"/>
              </w:rPr>
              <w:t>Groupe de travail</w:t>
            </w:r>
          </w:p>
          <w:p w:rsidR="00E20CBF" w:rsidRPr="00E20CBF" w:rsidRDefault="00E20CBF" w:rsidP="00E20CBF">
            <w:pPr>
              <w:jc w:val="both"/>
              <w:rPr>
                <w:sz w:val="20"/>
                <w:szCs w:val="10"/>
              </w:rPr>
            </w:pPr>
            <w:r>
              <w:rPr>
                <w:sz w:val="20"/>
                <w:szCs w:val="10"/>
              </w:rPr>
              <w:t>Réunions d’échanges</w:t>
            </w:r>
          </w:p>
        </w:tc>
        <w:tc>
          <w:tcPr>
            <w:tcW w:w="2409" w:type="dxa"/>
          </w:tcPr>
          <w:p w:rsidR="00CA1FA5" w:rsidRPr="00CA1FA5" w:rsidRDefault="00CA1FA5" w:rsidP="007F1153">
            <w:pPr>
              <w:jc w:val="both"/>
              <w:rPr>
                <w:sz w:val="20"/>
                <w:szCs w:val="10"/>
              </w:rPr>
            </w:pPr>
            <w:r>
              <w:rPr>
                <w:sz w:val="20"/>
                <w:szCs w:val="10"/>
              </w:rPr>
              <w:t>Carsat</w:t>
            </w:r>
          </w:p>
        </w:tc>
        <w:tc>
          <w:tcPr>
            <w:tcW w:w="1312" w:type="dxa"/>
          </w:tcPr>
          <w:p w:rsidR="00CA1FA5" w:rsidRDefault="00E20CBF" w:rsidP="007F1153">
            <w:pPr>
              <w:jc w:val="center"/>
              <w:rPr>
                <w:sz w:val="20"/>
                <w:szCs w:val="10"/>
              </w:rPr>
            </w:pPr>
            <w:r>
              <w:rPr>
                <w:sz w:val="20"/>
                <w:szCs w:val="10"/>
              </w:rPr>
              <w:t>2016-2017</w:t>
            </w:r>
          </w:p>
        </w:tc>
      </w:tr>
      <w:tr w:rsidR="009767AB" w:rsidRPr="00BD6F57" w:rsidTr="009767AB">
        <w:trPr>
          <w:gridAfter w:val="1"/>
          <w:wAfter w:w="11" w:type="dxa"/>
        </w:trPr>
        <w:tc>
          <w:tcPr>
            <w:tcW w:w="2518" w:type="dxa"/>
            <w:tcBorders>
              <w:bottom w:val="single" w:sz="4" w:space="0" w:color="auto"/>
            </w:tcBorders>
          </w:tcPr>
          <w:p w:rsidR="009767AB" w:rsidRPr="00E20CBF" w:rsidRDefault="00463332" w:rsidP="007F1153">
            <w:pPr>
              <w:rPr>
                <w:sz w:val="20"/>
                <w:szCs w:val="10"/>
              </w:rPr>
            </w:pPr>
            <w:r>
              <w:rPr>
                <w:sz w:val="20"/>
                <w:szCs w:val="10"/>
              </w:rPr>
              <w:t xml:space="preserve">2.4.2.14 </w:t>
            </w:r>
            <w:r w:rsidR="00E20CBF" w:rsidRPr="00E20CBF">
              <w:rPr>
                <w:sz w:val="20"/>
                <w:szCs w:val="10"/>
              </w:rPr>
              <w:t xml:space="preserve">Définition des conditions de </w:t>
            </w:r>
            <w:r w:rsidR="009767AB" w:rsidRPr="00E20CBF">
              <w:rPr>
                <w:sz w:val="20"/>
                <w:szCs w:val="10"/>
              </w:rPr>
              <w:t>pérennisation et de déploiement pour l’intégration des</w:t>
            </w:r>
            <w:r w:rsidR="00E20CBF">
              <w:rPr>
                <w:sz w:val="20"/>
                <w:szCs w:val="10"/>
              </w:rPr>
              <w:t xml:space="preserve"> questions de </w:t>
            </w:r>
            <w:r w:rsidR="009767AB" w:rsidRPr="00E20CBF">
              <w:rPr>
                <w:sz w:val="20"/>
                <w:szCs w:val="10"/>
              </w:rPr>
              <w:t>santé qualité de vie et performance globale dans les entreprises</w:t>
            </w:r>
          </w:p>
          <w:p w:rsidR="009767AB" w:rsidRPr="000F003E" w:rsidRDefault="009767AB" w:rsidP="007F1153">
            <w:pPr>
              <w:rPr>
                <w:sz w:val="20"/>
                <w:szCs w:val="10"/>
                <w:highlight w:val="yellow"/>
              </w:rPr>
            </w:pPr>
          </w:p>
        </w:tc>
        <w:tc>
          <w:tcPr>
            <w:tcW w:w="1559" w:type="dxa"/>
          </w:tcPr>
          <w:p w:rsidR="009767AB" w:rsidRPr="009767AB" w:rsidRDefault="00E20CBF" w:rsidP="009767AB">
            <w:pPr>
              <w:ind w:left="34"/>
              <w:jc w:val="both"/>
              <w:rPr>
                <w:sz w:val="20"/>
                <w:szCs w:val="10"/>
              </w:rPr>
            </w:pPr>
            <w:r>
              <w:rPr>
                <w:sz w:val="20"/>
                <w:szCs w:val="10"/>
              </w:rPr>
              <w:t>Entreprises, consultants, acteurs de la formation</w:t>
            </w:r>
          </w:p>
        </w:tc>
        <w:tc>
          <w:tcPr>
            <w:tcW w:w="3261" w:type="dxa"/>
          </w:tcPr>
          <w:p w:rsidR="009767AB" w:rsidRPr="00E20CBF" w:rsidRDefault="00E20CBF" w:rsidP="00E20CBF">
            <w:pPr>
              <w:jc w:val="both"/>
              <w:rPr>
                <w:sz w:val="20"/>
                <w:szCs w:val="10"/>
              </w:rPr>
            </w:pPr>
            <w:r>
              <w:rPr>
                <w:sz w:val="20"/>
                <w:szCs w:val="10"/>
              </w:rPr>
              <w:t>Création de l’ingénierie</w:t>
            </w:r>
          </w:p>
          <w:p w:rsidR="009767AB" w:rsidRPr="00E20CBF" w:rsidRDefault="009767AB" w:rsidP="00E20CBF">
            <w:pPr>
              <w:jc w:val="both"/>
              <w:rPr>
                <w:sz w:val="20"/>
                <w:szCs w:val="10"/>
              </w:rPr>
            </w:pPr>
            <w:r w:rsidRPr="00E20CBF">
              <w:rPr>
                <w:sz w:val="20"/>
                <w:szCs w:val="10"/>
              </w:rPr>
              <w:t>Ide</w:t>
            </w:r>
            <w:r w:rsidR="00E20CBF">
              <w:rPr>
                <w:sz w:val="20"/>
                <w:szCs w:val="10"/>
              </w:rPr>
              <w:t>ntification des leviers, freins</w:t>
            </w:r>
            <w:r w:rsidRPr="00E20CBF">
              <w:rPr>
                <w:sz w:val="20"/>
                <w:szCs w:val="10"/>
              </w:rPr>
              <w:t xml:space="preserve"> de déploiement de ce type de démarche </w:t>
            </w:r>
          </w:p>
          <w:p w:rsidR="009767AB" w:rsidRPr="005C5D01" w:rsidRDefault="009767AB" w:rsidP="007F1153">
            <w:pPr>
              <w:jc w:val="both"/>
              <w:rPr>
                <w:sz w:val="20"/>
                <w:szCs w:val="10"/>
              </w:rPr>
            </w:pPr>
            <w:r w:rsidRPr="00E20CBF">
              <w:rPr>
                <w:sz w:val="20"/>
                <w:szCs w:val="10"/>
              </w:rPr>
              <w:t>Capitalisation et création d’une feuille de route de déploiem</w:t>
            </w:r>
            <w:r w:rsidR="00E20CBF">
              <w:rPr>
                <w:sz w:val="20"/>
                <w:szCs w:val="10"/>
              </w:rPr>
              <w:t xml:space="preserve">ent </w:t>
            </w:r>
          </w:p>
        </w:tc>
        <w:tc>
          <w:tcPr>
            <w:tcW w:w="2409" w:type="dxa"/>
          </w:tcPr>
          <w:p w:rsidR="009767AB" w:rsidRPr="00CA1FA5" w:rsidRDefault="009767AB" w:rsidP="007F1153">
            <w:pPr>
              <w:jc w:val="both"/>
              <w:rPr>
                <w:sz w:val="20"/>
                <w:szCs w:val="10"/>
              </w:rPr>
            </w:pPr>
            <w:r w:rsidRPr="00CA1FA5">
              <w:rPr>
                <w:sz w:val="20"/>
                <w:szCs w:val="10"/>
              </w:rPr>
              <w:t>Aravis</w:t>
            </w:r>
          </w:p>
          <w:p w:rsidR="009767AB" w:rsidRPr="00CA1FA5" w:rsidRDefault="009767AB" w:rsidP="00CA1FA5">
            <w:pPr>
              <w:rPr>
                <w:sz w:val="20"/>
                <w:szCs w:val="10"/>
              </w:rPr>
            </w:pPr>
          </w:p>
        </w:tc>
        <w:tc>
          <w:tcPr>
            <w:tcW w:w="1312" w:type="dxa"/>
          </w:tcPr>
          <w:p w:rsidR="009767AB" w:rsidRDefault="00E20CBF" w:rsidP="007F1153">
            <w:pPr>
              <w:jc w:val="center"/>
              <w:rPr>
                <w:sz w:val="20"/>
                <w:szCs w:val="10"/>
              </w:rPr>
            </w:pPr>
            <w:r>
              <w:rPr>
                <w:sz w:val="20"/>
                <w:szCs w:val="10"/>
              </w:rPr>
              <w:t>2016</w:t>
            </w:r>
          </w:p>
          <w:p w:rsidR="00E20CBF" w:rsidRDefault="00E20CBF" w:rsidP="007F1153">
            <w:pPr>
              <w:jc w:val="center"/>
              <w:rPr>
                <w:sz w:val="20"/>
                <w:szCs w:val="10"/>
              </w:rPr>
            </w:pPr>
            <w:r>
              <w:rPr>
                <w:sz w:val="20"/>
                <w:szCs w:val="10"/>
              </w:rPr>
              <w:t>2017</w:t>
            </w:r>
          </w:p>
          <w:p w:rsidR="00E20CBF" w:rsidRDefault="00E20CBF" w:rsidP="007F1153">
            <w:pPr>
              <w:jc w:val="center"/>
              <w:rPr>
                <w:sz w:val="20"/>
                <w:szCs w:val="10"/>
              </w:rPr>
            </w:pPr>
          </w:p>
          <w:p w:rsidR="00E20CBF" w:rsidRDefault="00E20CBF" w:rsidP="007F1153">
            <w:pPr>
              <w:jc w:val="center"/>
              <w:rPr>
                <w:sz w:val="20"/>
                <w:szCs w:val="10"/>
              </w:rPr>
            </w:pPr>
          </w:p>
          <w:p w:rsidR="00E20CBF" w:rsidRPr="00BD6F57" w:rsidRDefault="00E20CBF" w:rsidP="007F1153">
            <w:pPr>
              <w:jc w:val="center"/>
              <w:rPr>
                <w:sz w:val="20"/>
                <w:szCs w:val="10"/>
              </w:rPr>
            </w:pPr>
            <w:r>
              <w:rPr>
                <w:sz w:val="20"/>
                <w:szCs w:val="10"/>
              </w:rPr>
              <w:t>2018</w:t>
            </w:r>
          </w:p>
        </w:tc>
      </w:tr>
      <w:tr w:rsidR="00CA1FA5" w:rsidRPr="00BD6F57" w:rsidTr="007A50D9">
        <w:trPr>
          <w:gridAfter w:val="1"/>
          <w:wAfter w:w="11" w:type="dxa"/>
        </w:trPr>
        <w:tc>
          <w:tcPr>
            <w:tcW w:w="2518" w:type="dxa"/>
            <w:tcBorders>
              <w:bottom w:val="single" w:sz="4" w:space="0" w:color="auto"/>
            </w:tcBorders>
          </w:tcPr>
          <w:p w:rsidR="00CA1FA5" w:rsidRPr="00E20CBF" w:rsidRDefault="00463332" w:rsidP="00CA1FA5">
            <w:pPr>
              <w:rPr>
                <w:sz w:val="20"/>
                <w:szCs w:val="10"/>
              </w:rPr>
            </w:pPr>
            <w:r>
              <w:rPr>
                <w:sz w:val="20"/>
                <w:szCs w:val="10"/>
              </w:rPr>
              <w:t xml:space="preserve">2.4.2.15 </w:t>
            </w:r>
            <w:r w:rsidR="00E20CBF" w:rsidRPr="00E20CBF">
              <w:rPr>
                <w:sz w:val="20"/>
                <w:szCs w:val="10"/>
              </w:rPr>
              <w:t>Définition des conditions de réussite des dispositifs d’accompagnement et de fo</w:t>
            </w:r>
            <w:r>
              <w:rPr>
                <w:sz w:val="20"/>
                <w:szCs w:val="10"/>
              </w:rPr>
              <w:t>rmation des entreprises en SQVT</w:t>
            </w:r>
            <w:r w:rsidR="00E20CBF" w:rsidRPr="00E20CBF">
              <w:rPr>
                <w:sz w:val="20"/>
                <w:szCs w:val="10"/>
              </w:rPr>
              <w:t>PG</w:t>
            </w:r>
          </w:p>
          <w:p w:rsidR="00CA1FA5" w:rsidRPr="000F003E" w:rsidRDefault="00CA1FA5" w:rsidP="00CA1FA5">
            <w:pPr>
              <w:rPr>
                <w:sz w:val="20"/>
                <w:szCs w:val="10"/>
                <w:highlight w:val="yellow"/>
              </w:rPr>
            </w:pPr>
          </w:p>
        </w:tc>
        <w:tc>
          <w:tcPr>
            <w:tcW w:w="1559" w:type="dxa"/>
            <w:tcBorders>
              <w:bottom w:val="single" w:sz="4" w:space="0" w:color="auto"/>
            </w:tcBorders>
          </w:tcPr>
          <w:p w:rsidR="00CA1FA5" w:rsidRPr="009767AB" w:rsidRDefault="00E20CBF" w:rsidP="00CA1FA5">
            <w:pPr>
              <w:ind w:left="34"/>
              <w:jc w:val="both"/>
              <w:rPr>
                <w:sz w:val="20"/>
                <w:szCs w:val="10"/>
              </w:rPr>
            </w:pPr>
            <w:r>
              <w:rPr>
                <w:sz w:val="20"/>
                <w:szCs w:val="10"/>
              </w:rPr>
              <w:t>Entreprises, consultants, acteurs de la formation</w:t>
            </w:r>
          </w:p>
        </w:tc>
        <w:tc>
          <w:tcPr>
            <w:tcW w:w="3261" w:type="dxa"/>
            <w:tcBorders>
              <w:bottom w:val="single" w:sz="4" w:space="0" w:color="auto"/>
            </w:tcBorders>
          </w:tcPr>
          <w:p w:rsidR="00CA1FA5" w:rsidRPr="00E20CBF" w:rsidRDefault="00CA1FA5" w:rsidP="00E20CBF">
            <w:pPr>
              <w:jc w:val="both"/>
              <w:rPr>
                <w:sz w:val="20"/>
                <w:szCs w:val="10"/>
              </w:rPr>
            </w:pPr>
            <w:r w:rsidRPr="00E20CBF">
              <w:rPr>
                <w:sz w:val="20"/>
                <w:szCs w:val="10"/>
              </w:rPr>
              <w:t>Création de l’ingénierie - 2016</w:t>
            </w:r>
          </w:p>
          <w:p w:rsidR="00CA1FA5" w:rsidRPr="00E20CBF" w:rsidRDefault="00CA1FA5" w:rsidP="00E20CBF">
            <w:pPr>
              <w:jc w:val="both"/>
              <w:rPr>
                <w:sz w:val="20"/>
                <w:szCs w:val="10"/>
              </w:rPr>
            </w:pPr>
            <w:r w:rsidRPr="00E20CBF">
              <w:rPr>
                <w:sz w:val="20"/>
                <w:szCs w:val="10"/>
              </w:rPr>
              <w:t>Recrutement de 5 e</w:t>
            </w:r>
            <w:r w:rsidR="00E20CBF">
              <w:rPr>
                <w:sz w:val="20"/>
                <w:szCs w:val="10"/>
              </w:rPr>
              <w:t xml:space="preserve">ntreprises </w:t>
            </w:r>
          </w:p>
          <w:p w:rsidR="00CA1FA5" w:rsidRPr="00E20CBF" w:rsidRDefault="00CA1FA5" w:rsidP="00E20CBF">
            <w:pPr>
              <w:jc w:val="both"/>
              <w:rPr>
                <w:sz w:val="20"/>
                <w:szCs w:val="10"/>
              </w:rPr>
            </w:pPr>
            <w:r w:rsidRPr="00E20CBF">
              <w:rPr>
                <w:sz w:val="20"/>
                <w:szCs w:val="10"/>
              </w:rPr>
              <w:t>Lancement de l’étude action auprè</w:t>
            </w:r>
            <w:r w:rsidR="00E20CBF">
              <w:rPr>
                <w:sz w:val="20"/>
                <w:szCs w:val="10"/>
              </w:rPr>
              <w:t>s des entreprises ciblées</w:t>
            </w:r>
          </w:p>
          <w:p w:rsidR="00CA1FA5" w:rsidRPr="00E20CBF" w:rsidRDefault="00CA1FA5" w:rsidP="00E20CBF">
            <w:pPr>
              <w:jc w:val="both"/>
              <w:rPr>
                <w:i/>
                <w:sz w:val="20"/>
                <w:szCs w:val="10"/>
              </w:rPr>
            </w:pPr>
            <w:r w:rsidRPr="00E20CBF">
              <w:rPr>
                <w:sz w:val="20"/>
                <w:szCs w:val="10"/>
              </w:rPr>
              <w:t>Formalisation des repères - 2018</w:t>
            </w:r>
          </w:p>
        </w:tc>
        <w:tc>
          <w:tcPr>
            <w:tcW w:w="2409" w:type="dxa"/>
            <w:tcBorders>
              <w:bottom w:val="single" w:sz="4" w:space="0" w:color="auto"/>
            </w:tcBorders>
          </w:tcPr>
          <w:p w:rsidR="00CA1FA5" w:rsidRPr="00CA1FA5" w:rsidRDefault="00CA1FA5" w:rsidP="00CA1FA5">
            <w:pPr>
              <w:jc w:val="both"/>
              <w:rPr>
                <w:sz w:val="20"/>
                <w:szCs w:val="10"/>
              </w:rPr>
            </w:pPr>
            <w:r w:rsidRPr="00CA1FA5">
              <w:rPr>
                <w:sz w:val="20"/>
                <w:szCs w:val="10"/>
              </w:rPr>
              <w:t>Aravis</w:t>
            </w:r>
          </w:p>
          <w:p w:rsidR="00CA1FA5" w:rsidRPr="00CA1FA5" w:rsidRDefault="00CA1FA5" w:rsidP="00CA1FA5">
            <w:pPr>
              <w:rPr>
                <w:sz w:val="20"/>
                <w:szCs w:val="10"/>
              </w:rPr>
            </w:pPr>
          </w:p>
        </w:tc>
        <w:tc>
          <w:tcPr>
            <w:tcW w:w="1312" w:type="dxa"/>
            <w:tcBorders>
              <w:bottom w:val="single" w:sz="4" w:space="0" w:color="auto"/>
            </w:tcBorders>
          </w:tcPr>
          <w:p w:rsidR="00CA1FA5" w:rsidRDefault="00E20CBF" w:rsidP="00CA1FA5">
            <w:pPr>
              <w:jc w:val="center"/>
              <w:rPr>
                <w:sz w:val="20"/>
                <w:szCs w:val="10"/>
              </w:rPr>
            </w:pPr>
            <w:r>
              <w:rPr>
                <w:sz w:val="20"/>
                <w:szCs w:val="10"/>
              </w:rPr>
              <w:t>2016</w:t>
            </w:r>
          </w:p>
          <w:p w:rsidR="00E20CBF" w:rsidRDefault="00E20CBF" w:rsidP="00CA1FA5">
            <w:pPr>
              <w:jc w:val="center"/>
              <w:rPr>
                <w:sz w:val="20"/>
                <w:szCs w:val="10"/>
              </w:rPr>
            </w:pPr>
            <w:r>
              <w:rPr>
                <w:sz w:val="20"/>
                <w:szCs w:val="10"/>
              </w:rPr>
              <w:t>2016-2017</w:t>
            </w:r>
          </w:p>
          <w:p w:rsidR="00E20CBF" w:rsidRDefault="00E20CBF" w:rsidP="00CA1FA5">
            <w:pPr>
              <w:jc w:val="center"/>
              <w:rPr>
                <w:sz w:val="20"/>
                <w:szCs w:val="10"/>
              </w:rPr>
            </w:pPr>
          </w:p>
          <w:p w:rsidR="00E20CBF" w:rsidRDefault="00E20CBF" w:rsidP="00CA1FA5">
            <w:pPr>
              <w:jc w:val="center"/>
              <w:rPr>
                <w:sz w:val="20"/>
                <w:szCs w:val="10"/>
              </w:rPr>
            </w:pPr>
            <w:r>
              <w:rPr>
                <w:sz w:val="20"/>
                <w:szCs w:val="10"/>
              </w:rPr>
              <w:t>2017</w:t>
            </w:r>
          </w:p>
          <w:p w:rsidR="00E20CBF" w:rsidRPr="00BD6F57" w:rsidRDefault="00E20CBF" w:rsidP="00CA1FA5">
            <w:pPr>
              <w:jc w:val="center"/>
              <w:rPr>
                <w:sz w:val="20"/>
                <w:szCs w:val="10"/>
              </w:rPr>
            </w:pPr>
            <w:r>
              <w:rPr>
                <w:sz w:val="20"/>
                <w:szCs w:val="10"/>
              </w:rPr>
              <w:t>2018</w:t>
            </w:r>
          </w:p>
        </w:tc>
      </w:tr>
      <w:tr w:rsidR="007A50D9" w:rsidRPr="00BD6F57" w:rsidTr="007A50D9">
        <w:trPr>
          <w:gridAfter w:val="1"/>
          <w:wAfter w:w="11" w:type="dxa"/>
        </w:trPr>
        <w:tc>
          <w:tcPr>
            <w:tcW w:w="2518" w:type="dxa"/>
          </w:tcPr>
          <w:p w:rsidR="007A50D9" w:rsidRPr="000F003E" w:rsidRDefault="00463332" w:rsidP="007F1153">
            <w:pPr>
              <w:rPr>
                <w:sz w:val="20"/>
                <w:szCs w:val="10"/>
                <w:highlight w:val="yellow"/>
              </w:rPr>
            </w:pPr>
            <w:r>
              <w:rPr>
                <w:sz w:val="20"/>
                <w:szCs w:val="10"/>
              </w:rPr>
              <w:t xml:space="preserve">2.4.2.16 </w:t>
            </w:r>
            <w:r w:rsidR="007A50D9" w:rsidRPr="007A50D9">
              <w:rPr>
                <w:sz w:val="20"/>
                <w:szCs w:val="10"/>
              </w:rPr>
              <w:t>Installation d’un conseil scientifique pour alimenter les différents chantiers du projet</w:t>
            </w:r>
          </w:p>
        </w:tc>
        <w:tc>
          <w:tcPr>
            <w:tcW w:w="1559" w:type="dxa"/>
          </w:tcPr>
          <w:p w:rsidR="007A50D9" w:rsidRDefault="007A50D9" w:rsidP="009767AB">
            <w:pPr>
              <w:ind w:left="34"/>
              <w:jc w:val="both"/>
              <w:rPr>
                <w:sz w:val="20"/>
                <w:szCs w:val="10"/>
              </w:rPr>
            </w:pPr>
            <w:r>
              <w:rPr>
                <w:sz w:val="20"/>
                <w:szCs w:val="10"/>
              </w:rPr>
              <w:t>Chercheurs</w:t>
            </w:r>
          </w:p>
          <w:p w:rsidR="007A50D9" w:rsidRPr="009767AB" w:rsidRDefault="007A50D9" w:rsidP="009767AB">
            <w:pPr>
              <w:ind w:left="34"/>
              <w:jc w:val="both"/>
              <w:rPr>
                <w:sz w:val="20"/>
                <w:szCs w:val="10"/>
              </w:rPr>
            </w:pPr>
            <w:r>
              <w:rPr>
                <w:sz w:val="20"/>
                <w:szCs w:val="10"/>
              </w:rPr>
              <w:t>Laboratoires de recherche</w:t>
            </w:r>
          </w:p>
        </w:tc>
        <w:tc>
          <w:tcPr>
            <w:tcW w:w="3261" w:type="dxa"/>
            <w:tcBorders>
              <w:bottom w:val="single" w:sz="4" w:space="0" w:color="auto"/>
            </w:tcBorders>
          </w:tcPr>
          <w:p w:rsidR="007A50D9" w:rsidRPr="00204305" w:rsidRDefault="007A50D9" w:rsidP="007A50D9">
            <w:pPr>
              <w:pStyle w:val="Paragraphedeliste"/>
              <w:ind w:left="176"/>
              <w:jc w:val="both"/>
              <w:rPr>
                <w:sz w:val="20"/>
                <w:szCs w:val="10"/>
              </w:rPr>
            </w:pPr>
          </w:p>
        </w:tc>
        <w:tc>
          <w:tcPr>
            <w:tcW w:w="2409" w:type="dxa"/>
          </w:tcPr>
          <w:p w:rsidR="007A50D9" w:rsidRPr="007A50D9" w:rsidRDefault="007A50D9" w:rsidP="007A50D9">
            <w:pPr>
              <w:jc w:val="both"/>
              <w:rPr>
                <w:sz w:val="20"/>
                <w:szCs w:val="10"/>
              </w:rPr>
            </w:pPr>
            <w:r w:rsidRPr="007A50D9">
              <w:rPr>
                <w:sz w:val="20"/>
                <w:szCs w:val="10"/>
              </w:rPr>
              <w:t xml:space="preserve">ECAM </w:t>
            </w:r>
          </w:p>
          <w:p w:rsidR="007A50D9" w:rsidRPr="007A50D9" w:rsidRDefault="007A50D9" w:rsidP="00F66CAC">
            <w:pPr>
              <w:rPr>
                <w:sz w:val="20"/>
                <w:szCs w:val="10"/>
              </w:rPr>
            </w:pPr>
          </w:p>
        </w:tc>
        <w:tc>
          <w:tcPr>
            <w:tcW w:w="1312" w:type="dxa"/>
            <w:tcBorders>
              <w:bottom w:val="single" w:sz="4" w:space="0" w:color="auto"/>
            </w:tcBorders>
          </w:tcPr>
          <w:p w:rsidR="007A50D9" w:rsidRDefault="007A50D9" w:rsidP="007F1153">
            <w:pPr>
              <w:jc w:val="center"/>
              <w:rPr>
                <w:sz w:val="20"/>
                <w:szCs w:val="10"/>
              </w:rPr>
            </w:pPr>
            <w:r>
              <w:rPr>
                <w:sz w:val="20"/>
                <w:szCs w:val="10"/>
              </w:rPr>
              <w:t>2017</w:t>
            </w:r>
          </w:p>
        </w:tc>
      </w:tr>
      <w:tr w:rsidR="007A50D9" w:rsidRPr="00BD6F57" w:rsidTr="007A50D9">
        <w:trPr>
          <w:gridAfter w:val="1"/>
          <w:wAfter w:w="11" w:type="dxa"/>
        </w:trPr>
        <w:tc>
          <w:tcPr>
            <w:tcW w:w="2518" w:type="dxa"/>
            <w:tcBorders>
              <w:bottom w:val="single" w:sz="4" w:space="0" w:color="auto"/>
            </w:tcBorders>
          </w:tcPr>
          <w:p w:rsidR="007A50D9" w:rsidRPr="000F003E" w:rsidRDefault="00463332" w:rsidP="007A50D9">
            <w:pPr>
              <w:rPr>
                <w:sz w:val="20"/>
                <w:szCs w:val="10"/>
                <w:highlight w:val="yellow"/>
              </w:rPr>
            </w:pPr>
            <w:r>
              <w:rPr>
                <w:sz w:val="20"/>
                <w:szCs w:val="10"/>
              </w:rPr>
              <w:t xml:space="preserve">2.4.2.17 </w:t>
            </w:r>
            <w:r w:rsidR="007A50D9">
              <w:rPr>
                <w:sz w:val="20"/>
                <w:szCs w:val="10"/>
              </w:rPr>
              <w:t xml:space="preserve">Lancement d’une thèse analysant la performance globale sous l’angle de la relation entre </w:t>
            </w:r>
            <w:r w:rsidR="007A50D9">
              <w:rPr>
                <w:sz w:val="20"/>
                <w:szCs w:val="10"/>
              </w:rPr>
              <w:lastRenderedPageBreak/>
              <w:t>l’entreprise et ses relations avec son environnement (sous-traitants)</w:t>
            </w:r>
          </w:p>
        </w:tc>
        <w:tc>
          <w:tcPr>
            <w:tcW w:w="1559" w:type="dxa"/>
          </w:tcPr>
          <w:p w:rsidR="007A50D9" w:rsidRPr="009767AB" w:rsidRDefault="007A50D9" w:rsidP="007A50D9">
            <w:pPr>
              <w:ind w:left="34"/>
              <w:jc w:val="both"/>
              <w:rPr>
                <w:sz w:val="20"/>
                <w:szCs w:val="10"/>
              </w:rPr>
            </w:pPr>
            <w:r>
              <w:rPr>
                <w:sz w:val="20"/>
                <w:szCs w:val="10"/>
              </w:rPr>
              <w:lastRenderedPageBreak/>
              <w:t>Chercheurs</w:t>
            </w:r>
          </w:p>
        </w:tc>
        <w:tc>
          <w:tcPr>
            <w:tcW w:w="3261" w:type="dxa"/>
            <w:tcBorders>
              <w:top w:val="single" w:sz="4" w:space="0" w:color="auto"/>
              <w:bottom w:val="single" w:sz="4" w:space="0" w:color="auto"/>
            </w:tcBorders>
          </w:tcPr>
          <w:p w:rsidR="007A50D9" w:rsidRDefault="007A50D9" w:rsidP="007A50D9">
            <w:pPr>
              <w:pStyle w:val="Paragraphedeliste"/>
              <w:ind w:left="176"/>
              <w:jc w:val="both"/>
              <w:rPr>
                <w:sz w:val="20"/>
                <w:szCs w:val="10"/>
              </w:rPr>
            </w:pPr>
          </w:p>
        </w:tc>
        <w:tc>
          <w:tcPr>
            <w:tcW w:w="2409" w:type="dxa"/>
          </w:tcPr>
          <w:p w:rsidR="007A50D9" w:rsidRPr="007A50D9" w:rsidRDefault="007A50D9" w:rsidP="007A50D9">
            <w:pPr>
              <w:jc w:val="both"/>
              <w:rPr>
                <w:sz w:val="20"/>
                <w:szCs w:val="10"/>
              </w:rPr>
            </w:pPr>
            <w:r w:rsidRPr="007A50D9">
              <w:rPr>
                <w:sz w:val="20"/>
                <w:szCs w:val="10"/>
              </w:rPr>
              <w:t xml:space="preserve">ECAM </w:t>
            </w:r>
          </w:p>
          <w:p w:rsidR="007A50D9" w:rsidRPr="007A50D9" w:rsidRDefault="007A50D9" w:rsidP="007A50D9">
            <w:pPr>
              <w:rPr>
                <w:sz w:val="20"/>
                <w:szCs w:val="10"/>
              </w:rPr>
            </w:pPr>
          </w:p>
        </w:tc>
        <w:tc>
          <w:tcPr>
            <w:tcW w:w="1312" w:type="dxa"/>
            <w:tcBorders>
              <w:top w:val="single" w:sz="4" w:space="0" w:color="auto"/>
            </w:tcBorders>
          </w:tcPr>
          <w:p w:rsidR="007A50D9" w:rsidRDefault="007A50D9" w:rsidP="007A50D9">
            <w:pPr>
              <w:jc w:val="center"/>
              <w:rPr>
                <w:sz w:val="20"/>
                <w:szCs w:val="10"/>
              </w:rPr>
            </w:pPr>
            <w:r>
              <w:rPr>
                <w:sz w:val="20"/>
                <w:szCs w:val="10"/>
              </w:rPr>
              <w:t>2017-2019</w:t>
            </w:r>
          </w:p>
        </w:tc>
      </w:tr>
      <w:tr w:rsidR="007A50D9" w:rsidRPr="00BD6F57" w:rsidTr="007A50D9">
        <w:trPr>
          <w:gridAfter w:val="1"/>
          <w:wAfter w:w="11" w:type="dxa"/>
        </w:trPr>
        <w:tc>
          <w:tcPr>
            <w:tcW w:w="2518" w:type="dxa"/>
            <w:tcBorders>
              <w:bottom w:val="single" w:sz="4" w:space="0" w:color="auto"/>
            </w:tcBorders>
          </w:tcPr>
          <w:p w:rsidR="007A50D9" w:rsidRPr="000F003E" w:rsidRDefault="00463332" w:rsidP="007A50D9">
            <w:pPr>
              <w:rPr>
                <w:sz w:val="20"/>
                <w:szCs w:val="10"/>
                <w:highlight w:val="yellow"/>
              </w:rPr>
            </w:pPr>
            <w:r>
              <w:rPr>
                <w:sz w:val="20"/>
                <w:szCs w:val="10"/>
              </w:rPr>
              <w:lastRenderedPageBreak/>
              <w:t xml:space="preserve">2.4.2.18 </w:t>
            </w:r>
            <w:r w:rsidR="007D17EB">
              <w:rPr>
                <w:sz w:val="20"/>
                <w:szCs w:val="10"/>
              </w:rPr>
              <w:t>Organisation de séminaires/colloques pour présenter les travaux</w:t>
            </w:r>
          </w:p>
        </w:tc>
        <w:tc>
          <w:tcPr>
            <w:tcW w:w="1559" w:type="dxa"/>
          </w:tcPr>
          <w:p w:rsidR="007A50D9" w:rsidRPr="009767AB" w:rsidRDefault="007D17EB" w:rsidP="007A50D9">
            <w:pPr>
              <w:ind w:left="34"/>
              <w:jc w:val="both"/>
              <w:rPr>
                <w:sz w:val="20"/>
                <w:szCs w:val="10"/>
              </w:rPr>
            </w:pPr>
            <w:r>
              <w:rPr>
                <w:sz w:val="20"/>
                <w:szCs w:val="10"/>
              </w:rPr>
              <w:t>Entreprises, consultants, chercheurs</w:t>
            </w:r>
          </w:p>
        </w:tc>
        <w:tc>
          <w:tcPr>
            <w:tcW w:w="3261" w:type="dxa"/>
            <w:tcBorders>
              <w:top w:val="single" w:sz="4" w:space="0" w:color="auto"/>
            </w:tcBorders>
          </w:tcPr>
          <w:p w:rsidR="007A50D9" w:rsidRPr="007D17EB" w:rsidRDefault="007A50D9" w:rsidP="007D17EB">
            <w:pPr>
              <w:jc w:val="both"/>
              <w:rPr>
                <w:sz w:val="20"/>
                <w:szCs w:val="10"/>
              </w:rPr>
            </w:pPr>
          </w:p>
        </w:tc>
        <w:tc>
          <w:tcPr>
            <w:tcW w:w="2409" w:type="dxa"/>
          </w:tcPr>
          <w:p w:rsidR="007A50D9" w:rsidRPr="007A50D9" w:rsidRDefault="007A50D9" w:rsidP="007A50D9">
            <w:pPr>
              <w:rPr>
                <w:sz w:val="20"/>
                <w:szCs w:val="10"/>
              </w:rPr>
            </w:pPr>
            <w:r w:rsidRPr="007A50D9">
              <w:rPr>
                <w:sz w:val="20"/>
                <w:szCs w:val="10"/>
              </w:rPr>
              <w:t>Carsat</w:t>
            </w:r>
          </w:p>
          <w:p w:rsidR="007A50D9" w:rsidRPr="007A50D9" w:rsidRDefault="007A50D9" w:rsidP="007A50D9">
            <w:pPr>
              <w:rPr>
                <w:sz w:val="20"/>
                <w:szCs w:val="10"/>
              </w:rPr>
            </w:pPr>
          </w:p>
        </w:tc>
        <w:tc>
          <w:tcPr>
            <w:tcW w:w="1312" w:type="dxa"/>
            <w:tcBorders>
              <w:top w:val="dotted" w:sz="4" w:space="0" w:color="auto"/>
            </w:tcBorders>
          </w:tcPr>
          <w:p w:rsidR="007A50D9" w:rsidRDefault="007A50D9" w:rsidP="007A50D9">
            <w:pPr>
              <w:jc w:val="center"/>
              <w:rPr>
                <w:sz w:val="20"/>
                <w:szCs w:val="10"/>
              </w:rPr>
            </w:pPr>
            <w:r>
              <w:rPr>
                <w:sz w:val="20"/>
                <w:szCs w:val="10"/>
              </w:rPr>
              <w:t>2016-2018</w:t>
            </w:r>
          </w:p>
        </w:tc>
      </w:tr>
      <w:tr w:rsidR="007A50D9" w:rsidRPr="00D0769B" w:rsidTr="009767AB">
        <w:trPr>
          <w:gridAfter w:val="1"/>
          <w:wAfter w:w="11" w:type="dxa"/>
        </w:trPr>
        <w:tc>
          <w:tcPr>
            <w:tcW w:w="2518" w:type="dxa"/>
            <w:shd w:val="clear" w:color="auto" w:fill="FDE9D9" w:themeFill="accent6" w:themeFillTint="33"/>
          </w:tcPr>
          <w:p w:rsidR="007A50D9" w:rsidRPr="009A27F1" w:rsidRDefault="007A50D9" w:rsidP="007A50D9">
            <w:pPr>
              <w:jc w:val="both"/>
              <w:rPr>
                <w:sz w:val="20"/>
                <w:szCs w:val="10"/>
              </w:rPr>
            </w:pPr>
            <w:r>
              <w:rPr>
                <w:b/>
              </w:rPr>
              <w:t>Partenaires de l’action</w:t>
            </w:r>
          </w:p>
        </w:tc>
        <w:tc>
          <w:tcPr>
            <w:tcW w:w="8541" w:type="dxa"/>
            <w:gridSpan w:val="4"/>
          </w:tcPr>
          <w:p w:rsidR="007A50D9" w:rsidRPr="00D0769B" w:rsidRDefault="007A50D9" w:rsidP="007A50D9">
            <w:pPr>
              <w:rPr>
                <w:color w:val="8DB3E2" w:themeColor="text2" w:themeTint="66"/>
                <w:sz w:val="20"/>
                <w:szCs w:val="10"/>
              </w:rPr>
            </w:pPr>
            <w:proofErr w:type="spellStart"/>
            <w:r>
              <w:rPr>
                <w:sz w:val="20"/>
                <w:szCs w:val="10"/>
              </w:rPr>
              <w:t>Carsat</w:t>
            </w:r>
            <w:proofErr w:type="spellEnd"/>
            <w:r>
              <w:rPr>
                <w:sz w:val="20"/>
                <w:szCs w:val="10"/>
              </w:rPr>
              <w:t xml:space="preserve">, </w:t>
            </w:r>
            <w:proofErr w:type="spellStart"/>
            <w:r>
              <w:rPr>
                <w:sz w:val="20"/>
                <w:szCs w:val="10"/>
              </w:rPr>
              <w:t>Aract</w:t>
            </w:r>
            <w:proofErr w:type="spellEnd"/>
            <w:r>
              <w:rPr>
                <w:sz w:val="20"/>
                <w:szCs w:val="10"/>
              </w:rPr>
              <w:t xml:space="preserve">, </w:t>
            </w:r>
            <w:proofErr w:type="spellStart"/>
            <w:r>
              <w:rPr>
                <w:sz w:val="20"/>
                <w:szCs w:val="10"/>
              </w:rPr>
              <w:t>Ecam</w:t>
            </w:r>
            <w:proofErr w:type="spellEnd"/>
            <w:r>
              <w:rPr>
                <w:sz w:val="20"/>
                <w:szCs w:val="10"/>
              </w:rPr>
              <w:t>, Direccte, Région Auvergne –Rhône-Alpes</w:t>
            </w:r>
          </w:p>
        </w:tc>
      </w:tr>
    </w:tbl>
    <w:p w:rsidR="00575C67" w:rsidRDefault="00575C67" w:rsidP="00575C67">
      <w:pPr>
        <w:spacing w:after="0" w:line="240" w:lineRule="auto"/>
        <w:jc w:val="both"/>
        <w:rPr>
          <w:sz w:val="10"/>
          <w:szCs w:val="10"/>
        </w:rPr>
      </w:pPr>
    </w:p>
    <w:tbl>
      <w:tblPr>
        <w:tblStyle w:val="Grilledutableau"/>
        <w:tblW w:w="10881" w:type="dxa"/>
        <w:tblLayout w:type="fixed"/>
        <w:tblLook w:val="04A0" w:firstRow="1" w:lastRow="0" w:firstColumn="1" w:lastColumn="0" w:noHBand="0" w:noVBand="1"/>
      </w:tblPr>
      <w:tblGrid>
        <w:gridCol w:w="534"/>
        <w:gridCol w:w="3543"/>
        <w:gridCol w:w="3969"/>
        <w:gridCol w:w="2835"/>
      </w:tblGrid>
      <w:tr w:rsidR="00C212AE" w:rsidRPr="0066041B" w:rsidTr="00FB75B6">
        <w:tc>
          <w:tcPr>
            <w:tcW w:w="534" w:type="dxa"/>
            <w:vMerge w:val="restart"/>
            <w:shd w:val="clear" w:color="auto" w:fill="DBE5F1" w:themeFill="accent1" w:themeFillTint="33"/>
            <w:textDirection w:val="btLr"/>
          </w:tcPr>
          <w:p w:rsidR="00C212AE" w:rsidRPr="0066041B" w:rsidRDefault="00C212AE" w:rsidP="00FB75B6">
            <w:pPr>
              <w:ind w:left="113" w:right="113"/>
              <w:jc w:val="center"/>
              <w:rPr>
                <w:b/>
              </w:rPr>
            </w:pPr>
            <w:r>
              <w:rPr>
                <w:b/>
              </w:rPr>
              <w:t>Evaluation de l</w:t>
            </w:r>
            <w:r w:rsidR="007D17EB">
              <w:rPr>
                <w:b/>
              </w:rPr>
              <w:t>’</w:t>
            </w:r>
            <w:r>
              <w:rPr>
                <w:b/>
              </w:rPr>
              <w:t>action</w:t>
            </w:r>
          </w:p>
        </w:tc>
        <w:tc>
          <w:tcPr>
            <w:tcW w:w="3543" w:type="dxa"/>
            <w:shd w:val="clear" w:color="auto" w:fill="DBE5F1" w:themeFill="accent1" w:themeFillTint="33"/>
          </w:tcPr>
          <w:p w:rsidR="00C212AE" w:rsidRPr="0066041B" w:rsidRDefault="00C212AE" w:rsidP="00FB75B6">
            <w:pPr>
              <w:jc w:val="center"/>
              <w:rPr>
                <w:b/>
              </w:rPr>
            </w:pPr>
            <w:r w:rsidRPr="0066041B">
              <w:rPr>
                <w:b/>
              </w:rPr>
              <w:t>Critères d’évaluation</w:t>
            </w:r>
          </w:p>
        </w:tc>
        <w:tc>
          <w:tcPr>
            <w:tcW w:w="3969" w:type="dxa"/>
            <w:shd w:val="clear" w:color="auto" w:fill="DBE5F1" w:themeFill="accent1" w:themeFillTint="33"/>
          </w:tcPr>
          <w:p w:rsidR="00C212AE" w:rsidRPr="0066041B" w:rsidRDefault="00C212AE" w:rsidP="00FB75B6">
            <w:pPr>
              <w:jc w:val="center"/>
              <w:rPr>
                <w:b/>
                <w:i/>
              </w:rPr>
            </w:pPr>
            <w:r w:rsidRPr="0066041B">
              <w:rPr>
                <w:b/>
              </w:rPr>
              <w:t>Indicateurs</w:t>
            </w:r>
          </w:p>
        </w:tc>
        <w:tc>
          <w:tcPr>
            <w:tcW w:w="2835" w:type="dxa"/>
            <w:shd w:val="clear" w:color="auto" w:fill="DBE5F1" w:themeFill="accent1" w:themeFillTint="33"/>
          </w:tcPr>
          <w:p w:rsidR="00C212AE" w:rsidRPr="0066041B" w:rsidRDefault="00C212AE" w:rsidP="00FB75B6">
            <w:pPr>
              <w:jc w:val="center"/>
              <w:rPr>
                <w:b/>
              </w:rPr>
            </w:pPr>
            <w:r w:rsidRPr="0066041B">
              <w:rPr>
                <w:b/>
              </w:rPr>
              <w:t>Source</w:t>
            </w:r>
          </w:p>
        </w:tc>
      </w:tr>
      <w:tr w:rsidR="00C212AE" w:rsidRPr="0031013E" w:rsidTr="00FB75B6">
        <w:tc>
          <w:tcPr>
            <w:tcW w:w="534" w:type="dxa"/>
            <w:vMerge/>
          </w:tcPr>
          <w:p w:rsidR="00C212AE" w:rsidRPr="00CB2B3D" w:rsidRDefault="00C212AE" w:rsidP="00FB75B6">
            <w:pPr>
              <w:rPr>
                <w:sz w:val="20"/>
                <w:szCs w:val="10"/>
              </w:rPr>
            </w:pPr>
          </w:p>
        </w:tc>
        <w:tc>
          <w:tcPr>
            <w:tcW w:w="3543" w:type="dxa"/>
          </w:tcPr>
          <w:p w:rsidR="00C212AE" w:rsidRPr="00CB2B3D" w:rsidRDefault="007D17EB" w:rsidP="00FB75B6">
            <w:pPr>
              <w:rPr>
                <w:sz w:val="20"/>
                <w:szCs w:val="10"/>
              </w:rPr>
            </w:pPr>
            <w:r>
              <w:rPr>
                <w:sz w:val="20"/>
                <w:szCs w:val="10"/>
              </w:rPr>
              <w:t>Rédaction effective</w:t>
            </w:r>
            <w:r w:rsidRPr="00CA1FA5">
              <w:rPr>
                <w:sz w:val="20"/>
                <w:szCs w:val="10"/>
              </w:rPr>
              <w:t xml:space="preserve"> </w:t>
            </w:r>
            <w:r>
              <w:rPr>
                <w:sz w:val="20"/>
                <w:szCs w:val="10"/>
              </w:rPr>
              <w:t>d’un corpus partagé de référence en matière d SQVTPG</w:t>
            </w:r>
          </w:p>
        </w:tc>
        <w:tc>
          <w:tcPr>
            <w:tcW w:w="3969" w:type="dxa"/>
          </w:tcPr>
          <w:p w:rsidR="00C212AE" w:rsidRPr="00CB2B3D" w:rsidRDefault="007D17EB" w:rsidP="00FB75B6">
            <w:pPr>
              <w:jc w:val="both"/>
              <w:rPr>
                <w:sz w:val="20"/>
                <w:szCs w:val="10"/>
              </w:rPr>
            </w:pPr>
            <w:r>
              <w:rPr>
                <w:sz w:val="20"/>
                <w:szCs w:val="10"/>
              </w:rPr>
              <w:t>Livrable</w:t>
            </w:r>
          </w:p>
        </w:tc>
        <w:tc>
          <w:tcPr>
            <w:tcW w:w="2835" w:type="dxa"/>
          </w:tcPr>
          <w:p w:rsidR="00C212AE" w:rsidRPr="00CB2B3D" w:rsidRDefault="007D17EB" w:rsidP="00FB75B6">
            <w:pPr>
              <w:jc w:val="both"/>
              <w:rPr>
                <w:sz w:val="20"/>
                <w:szCs w:val="10"/>
              </w:rPr>
            </w:pPr>
            <w:r>
              <w:rPr>
                <w:sz w:val="20"/>
                <w:szCs w:val="10"/>
              </w:rPr>
              <w:t>Document produit</w:t>
            </w:r>
          </w:p>
        </w:tc>
      </w:tr>
      <w:tr w:rsidR="00C212AE" w:rsidRPr="0031013E" w:rsidTr="00FB75B6">
        <w:tc>
          <w:tcPr>
            <w:tcW w:w="534" w:type="dxa"/>
            <w:vMerge/>
          </w:tcPr>
          <w:p w:rsidR="00C212AE" w:rsidRDefault="00C212AE" w:rsidP="00FB75B6">
            <w:pPr>
              <w:rPr>
                <w:sz w:val="20"/>
              </w:rPr>
            </w:pPr>
          </w:p>
        </w:tc>
        <w:tc>
          <w:tcPr>
            <w:tcW w:w="3543" w:type="dxa"/>
          </w:tcPr>
          <w:p w:rsidR="00C212AE" w:rsidRPr="00B07F20" w:rsidRDefault="007D17EB" w:rsidP="00FB75B6">
            <w:pPr>
              <w:rPr>
                <w:sz w:val="20"/>
                <w:szCs w:val="10"/>
              </w:rPr>
            </w:pPr>
            <w:r>
              <w:rPr>
                <w:sz w:val="20"/>
                <w:szCs w:val="10"/>
              </w:rPr>
              <w:t>Détermination effective des moyens</w:t>
            </w:r>
            <w:r w:rsidRPr="00E20CBF">
              <w:rPr>
                <w:sz w:val="20"/>
                <w:szCs w:val="10"/>
              </w:rPr>
              <w:t xml:space="preserve"> de pérennisation et de déploiement </w:t>
            </w:r>
            <w:r>
              <w:rPr>
                <w:sz w:val="20"/>
                <w:szCs w:val="10"/>
              </w:rPr>
              <w:t>de l’action</w:t>
            </w:r>
          </w:p>
        </w:tc>
        <w:tc>
          <w:tcPr>
            <w:tcW w:w="3969" w:type="dxa"/>
          </w:tcPr>
          <w:p w:rsidR="00C212AE" w:rsidRDefault="00B07F20" w:rsidP="00FB75B6">
            <w:pPr>
              <w:jc w:val="both"/>
              <w:rPr>
                <w:sz w:val="20"/>
              </w:rPr>
            </w:pPr>
            <w:r>
              <w:rPr>
                <w:sz w:val="20"/>
              </w:rPr>
              <w:t>Production de préconisations</w:t>
            </w:r>
          </w:p>
          <w:p w:rsidR="00450FD9" w:rsidRDefault="00450FD9" w:rsidP="00FB75B6">
            <w:pPr>
              <w:jc w:val="both"/>
              <w:rPr>
                <w:sz w:val="20"/>
              </w:rPr>
            </w:pPr>
          </w:p>
          <w:p w:rsidR="00450FD9" w:rsidRPr="00CB2B3D" w:rsidRDefault="00450FD9" w:rsidP="00FB75B6">
            <w:pPr>
              <w:jc w:val="both"/>
              <w:rPr>
                <w:sz w:val="20"/>
              </w:rPr>
            </w:pPr>
            <w:r>
              <w:rPr>
                <w:sz w:val="20"/>
              </w:rPr>
              <w:t xml:space="preserve">Nombre d’actions de pérennisation et de déploiement mises en </w:t>
            </w:r>
            <w:r w:rsidR="003E7745">
              <w:rPr>
                <w:sz w:val="20"/>
              </w:rPr>
              <w:t>œuvre</w:t>
            </w:r>
            <w:bookmarkStart w:id="1" w:name="_GoBack"/>
            <w:bookmarkEnd w:id="1"/>
          </w:p>
        </w:tc>
        <w:tc>
          <w:tcPr>
            <w:tcW w:w="2835" w:type="dxa"/>
          </w:tcPr>
          <w:p w:rsidR="00C212AE" w:rsidRDefault="007D17EB" w:rsidP="00FB75B6">
            <w:pPr>
              <w:jc w:val="both"/>
              <w:rPr>
                <w:sz w:val="20"/>
              </w:rPr>
            </w:pPr>
            <w:r>
              <w:rPr>
                <w:sz w:val="20"/>
              </w:rPr>
              <w:t>Méthodologie produite par l’ARACT</w:t>
            </w:r>
          </w:p>
          <w:p w:rsidR="00450FD9" w:rsidRPr="00CB2B3D" w:rsidRDefault="00450FD9" w:rsidP="00FB75B6">
            <w:pPr>
              <w:jc w:val="both"/>
              <w:rPr>
                <w:sz w:val="20"/>
              </w:rPr>
            </w:pPr>
            <w:r>
              <w:rPr>
                <w:sz w:val="20"/>
              </w:rPr>
              <w:t>Comptes-rendus de réunions ou de rencontre</w:t>
            </w:r>
          </w:p>
        </w:tc>
      </w:tr>
      <w:tr w:rsidR="007D17EB" w:rsidRPr="0031013E" w:rsidTr="00FB75B6">
        <w:tc>
          <w:tcPr>
            <w:tcW w:w="534" w:type="dxa"/>
            <w:vMerge/>
          </w:tcPr>
          <w:p w:rsidR="007D17EB" w:rsidRDefault="007D17EB" w:rsidP="00FB75B6">
            <w:pPr>
              <w:rPr>
                <w:sz w:val="20"/>
              </w:rPr>
            </w:pPr>
          </w:p>
        </w:tc>
        <w:tc>
          <w:tcPr>
            <w:tcW w:w="3543" w:type="dxa"/>
          </w:tcPr>
          <w:p w:rsidR="007D17EB" w:rsidRPr="007A50D9" w:rsidRDefault="00B07F20" w:rsidP="00FB75B6">
            <w:pPr>
              <w:rPr>
                <w:sz w:val="20"/>
                <w:szCs w:val="10"/>
              </w:rPr>
            </w:pPr>
            <w:r>
              <w:rPr>
                <w:sz w:val="20"/>
                <w:szCs w:val="10"/>
              </w:rPr>
              <w:t xml:space="preserve">Détermination effective </w:t>
            </w:r>
            <w:r w:rsidR="007D17EB" w:rsidRPr="00E20CBF">
              <w:rPr>
                <w:sz w:val="20"/>
                <w:szCs w:val="10"/>
              </w:rPr>
              <w:t>des conditions de réussite des dispositifs d’accompagnement et de formation des entreprises en SQVT PG</w:t>
            </w:r>
          </w:p>
        </w:tc>
        <w:tc>
          <w:tcPr>
            <w:tcW w:w="3969" w:type="dxa"/>
          </w:tcPr>
          <w:p w:rsidR="007D17EB" w:rsidRDefault="00B07F20" w:rsidP="00FB75B6">
            <w:pPr>
              <w:jc w:val="both"/>
              <w:rPr>
                <w:sz w:val="20"/>
              </w:rPr>
            </w:pPr>
            <w:r>
              <w:rPr>
                <w:sz w:val="20"/>
              </w:rPr>
              <w:t>Nombres de bonnes pratiques répertoriées</w:t>
            </w:r>
          </w:p>
          <w:p w:rsidR="00B07F20" w:rsidRDefault="00B07F20" w:rsidP="00FB75B6">
            <w:pPr>
              <w:jc w:val="both"/>
              <w:rPr>
                <w:sz w:val="20"/>
              </w:rPr>
            </w:pPr>
            <w:r>
              <w:rPr>
                <w:sz w:val="20"/>
              </w:rPr>
              <w:t>Liste de difficultés et freins répertoriés</w:t>
            </w:r>
          </w:p>
        </w:tc>
        <w:tc>
          <w:tcPr>
            <w:tcW w:w="2835" w:type="dxa"/>
          </w:tcPr>
          <w:p w:rsidR="007D17EB" w:rsidRDefault="00B07F20" w:rsidP="00FB75B6">
            <w:pPr>
              <w:jc w:val="both"/>
              <w:rPr>
                <w:sz w:val="20"/>
              </w:rPr>
            </w:pPr>
            <w:r>
              <w:rPr>
                <w:sz w:val="20"/>
              </w:rPr>
              <w:t>REX produit par l’ARACT</w:t>
            </w:r>
          </w:p>
        </w:tc>
      </w:tr>
      <w:tr w:rsidR="00C212AE" w:rsidRPr="0031013E" w:rsidTr="00FB75B6">
        <w:tc>
          <w:tcPr>
            <w:tcW w:w="534" w:type="dxa"/>
            <w:vMerge/>
          </w:tcPr>
          <w:p w:rsidR="00C212AE" w:rsidRDefault="00C212AE" w:rsidP="00FB75B6">
            <w:pPr>
              <w:rPr>
                <w:sz w:val="20"/>
              </w:rPr>
            </w:pPr>
          </w:p>
        </w:tc>
        <w:tc>
          <w:tcPr>
            <w:tcW w:w="3543" w:type="dxa"/>
          </w:tcPr>
          <w:p w:rsidR="00C212AE" w:rsidRPr="00CB2B3D" w:rsidRDefault="007D17EB" w:rsidP="00FB75B6">
            <w:pPr>
              <w:rPr>
                <w:sz w:val="20"/>
              </w:rPr>
            </w:pPr>
            <w:r w:rsidRPr="007A50D9">
              <w:rPr>
                <w:sz w:val="20"/>
                <w:szCs w:val="10"/>
              </w:rPr>
              <w:t xml:space="preserve">Installation </w:t>
            </w:r>
            <w:r>
              <w:rPr>
                <w:sz w:val="20"/>
                <w:szCs w:val="10"/>
              </w:rPr>
              <w:t xml:space="preserve">effective </w:t>
            </w:r>
            <w:r w:rsidRPr="007A50D9">
              <w:rPr>
                <w:sz w:val="20"/>
                <w:szCs w:val="10"/>
              </w:rPr>
              <w:t>d’un conseil scientifique</w:t>
            </w:r>
          </w:p>
        </w:tc>
        <w:tc>
          <w:tcPr>
            <w:tcW w:w="3969" w:type="dxa"/>
          </w:tcPr>
          <w:p w:rsidR="00C212AE" w:rsidRDefault="007D17EB" w:rsidP="00FB75B6">
            <w:pPr>
              <w:jc w:val="both"/>
              <w:rPr>
                <w:sz w:val="20"/>
              </w:rPr>
            </w:pPr>
            <w:r>
              <w:rPr>
                <w:sz w:val="20"/>
              </w:rPr>
              <w:t>Nombre de participants</w:t>
            </w:r>
          </w:p>
          <w:p w:rsidR="007D17EB" w:rsidRPr="00CB2B3D" w:rsidRDefault="007D17EB" w:rsidP="00FB75B6">
            <w:pPr>
              <w:jc w:val="both"/>
              <w:rPr>
                <w:sz w:val="20"/>
              </w:rPr>
            </w:pPr>
            <w:r>
              <w:rPr>
                <w:sz w:val="20"/>
              </w:rPr>
              <w:t>Qualité des participants</w:t>
            </w:r>
          </w:p>
        </w:tc>
        <w:tc>
          <w:tcPr>
            <w:tcW w:w="2835" w:type="dxa"/>
          </w:tcPr>
          <w:p w:rsidR="00C212AE" w:rsidRDefault="007D17EB" w:rsidP="00FB75B6">
            <w:pPr>
              <w:jc w:val="both"/>
              <w:rPr>
                <w:sz w:val="20"/>
              </w:rPr>
            </w:pPr>
            <w:r>
              <w:rPr>
                <w:sz w:val="20"/>
              </w:rPr>
              <w:t>Feuilles d’émargement des rencontres et réunions</w:t>
            </w:r>
          </w:p>
          <w:p w:rsidR="007D17EB" w:rsidRPr="00CB2B3D" w:rsidRDefault="007D17EB" w:rsidP="00FB75B6">
            <w:pPr>
              <w:jc w:val="both"/>
              <w:rPr>
                <w:sz w:val="20"/>
              </w:rPr>
            </w:pPr>
            <w:r>
              <w:rPr>
                <w:sz w:val="20"/>
              </w:rPr>
              <w:t>Liste fournie par l’ECAM</w:t>
            </w:r>
          </w:p>
        </w:tc>
      </w:tr>
      <w:tr w:rsidR="00C212AE" w:rsidRPr="0031013E" w:rsidTr="00FB75B6">
        <w:tc>
          <w:tcPr>
            <w:tcW w:w="534" w:type="dxa"/>
            <w:vMerge/>
          </w:tcPr>
          <w:p w:rsidR="00C212AE" w:rsidRDefault="00C212AE" w:rsidP="00FB75B6">
            <w:pPr>
              <w:rPr>
                <w:sz w:val="20"/>
              </w:rPr>
            </w:pPr>
          </w:p>
        </w:tc>
        <w:tc>
          <w:tcPr>
            <w:tcW w:w="3543" w:type="dxa"/>
          </w:tcPr>
          <w:p w:rsidR="00C212AE" w:rsidRPr="00CB2B3D" w:rsidRDefault="007D17EB" w:rsidP="00FB75B6">
            <w:pPr>
              <w:rPr>
                <w:sz w:val="20"/>
              </w:rPr>
            </w:pPr>
            <w:r>
              <w:rPr>
                <w:sz w:val="20"/>
                <w:szCs w:val="10"/>
              </w:rPr>
              <w:t>Lancement effectif d’une thèse</w:t>
            </w:r>
          </w:p>
        </w:tc>
        <w:tc>
          <w:tcPr>
            <w:tcW w:w="3969" w:type="dxa"/>
          </w:tcPr>
          <w:p w:rsidR="00C212AE" w:rsidRDefault="007D17EB" w:rsidP="00FB75B6">
            <w:pPr>
              <w:jc w:val="both"/>
              <w:rPr>
                <w:sz w:val="20"/>
              </w:rPr>
            </w:pPr>
            <w:r>
              <w:rPr>
                <w:sz w:val="20"/>
              </w:rPr>
              <w:t>Nom du chercheur</w:t>
            </w:r>
          </w:p>
          <w:p w:rsidR="007D17EB" w:rsidRPr="00CB2B3D" w:rsidRDefault="007D17EB" w:rsidP="00FB75B6">
            <w:pPr>
              <w:jc w:val="both"/>
              <w:rPr>
                <w:sz w:val="20"/>
              </w:rPr>
            </w:pPr>
            <w:r>
              <w:rPr>
                <w:sz w:val="20"/>
              </w:rPr>
              <w:t>Sujet de la thèse</w:t>
            </w:r>
          </w:p>
        </w:tc>
        <w:tc>
          <w:tcPr>
            <w:tcW w:w="2835" w:type="dxa"/>
          </w:tcPr>
          <w:p w:rsidR="00C212AE" w:rsidRPr="00CB2B3D" w:rsidRDefault="007D17EB" w:rsidP="00FB75B6">
            <w:pPr>
              <w:jc w:val="both"/>
              <w:rPr>
                <w:sz w:val="20"/>
                <w:szCs w:val="10"/>
              </w:rPr>
            </w:pPr>
            <w:r>
              <w:rPr>
                <w:sz w:val="20"/>
                <w:szCs w:val="10"/>
              </w:rPr>
              <w:t>Information fournie par l’ECAM et/ou la Carsat</w:t>
            </w:r>
          </w:p>
        </w:tc>
      </w:tr>
      <w:tr w:rsidR="00C212AE" w:rsidRPr="0031013E" w:rsidTr="00FB75B6">
        <w:tc>
          <w:tcPr>
            <w:tcW w:w="534" w:type="dxa"/>
            <w:vMerge/>
          </w:tcPr>
          <w:p w:rsidR="00C212AE" w:rsidRDefault="00C212AE" w:rsidP="00FB75B6">
            <w:pPr>
              <w:rPr>
                <w:sz w:val="20"/>
              </w:rPr>
            </w:pPr>
          </w:p>
        </w:tc>
        <w:tc>
          <w:tcPr>
            <w:tcW w:w="3543" w:type="dxa"/>
          </w:tcPr>
          <w:p w:rsidR="00C212AE" w:rsidRPr="00CB2B3D" w:rsidRDefault="007D17EB" w:rsidP="00FB75B6">
            <w:pPr>
              <w:rPr>
                <w:sz w:val="20"/>
              </w:rPr>
            </w:pPr>
            <w:r>
              <w:rPr>
                <w:sz w:val="20"/>
                <w:szCs w:val="10"/>
              </w:rPr>
              <w:t>Organisation effective de séminaires/colloques pour présenter les travaux</w:t>
            </w:r>
          </w:p>
        </w:tc>
        <w:tc>
          <w:tcPr>
            <w:tcW w:w="3969" w:type="dxa"/>
          </w:tcPr>
          <w:p w:rsidR="00C212AE" w:rsidRDefault="007D17EB" w:rsidP="00FB75B6">
            <w:pPr>
              <w:jc w:val="both"/>
              <w:rPr>
                <w:sz w:val="20"/>
              </w:rPr>
            </w:pPr>
            <w:r>
              <w:rPr>
                <w:sz w:val="20"/>
              </w:rPr>
              <w:t>Nombre de séminaires et de colloques organisés</w:t>
            </w:r>
          </w:p>
          <w:p w:rsidR="007D17EB" w:rsidRDefault="007D17EB" w:rsidP="00FB75B6">
            <w:pPr>
              <w:jc w:val="both"/>
              <w:rPr>
                <w:sz w:val="20"/>
              </w:rPr>
            </w:pPr>
            <w:r>
              <w:rPr>
                <w:sz w:val="20"/>
              </w:rPr>
              <w:t>Nombre de participants</w:t>
            </w:r>
          </w:p>
          <w:p w:rsidR="007D17EB" w:rsidRPr="00CB2B3D" w:rsidRDefault="007D17EB" w:rsidP="00FB75B6">
            <w:pPr>
              <w:jc w:val="both"/>
              <w:rPr>
                <w:sz w:val="20"/>
              </w:rPr>
            </w:pPr>
            <w:r>
              <w:rPr>
                <w:sz w:val="20"/>
              </w:rPr>
              <w:t>Qualité des participants</w:t>
            </w:r>
          </w:p>
        </w:tc>
        <w:tc>
          <w:tcPr>
            <w:tcW w:w="2835" w:type="dxa"/>
          </w:tcPr>
          <w:p w:rsidR="00C212AE" w:rsidRDefault="007D17EB" w:rsidP="00FB75B6">
            <w:pPr>
              <w:jc w:val="both"/>
              <w:rPr>
                <w:sz w:val="20"/>
              </w:rPr>
            </w:pPr>
            <w:r>
              <w:rPr>
                <w:sz w:val="20"/>
              </w:rPr>
              <w:t>Inscriptions</w:t>
            </w:r>
          </w:p>
          <w:p w:rsidR="007D17EB" w:rsidRPr="00CB2B3D" w:rsidRDefault="007D17EB" w:rsidP="00FB75B6">
            <w:pPr>
              <w:jc w:val="both"/>
              <w:rPr>
                <w:sz w:val="20"/>
              </w:rPr>
            </w:pPr>
            <w:r>
              <w:rPr>
                <w:sz w:val="20"/>
              </w:rPr>
              <w:t>Feuilles d’émargement</w:t>
            </w:r>
          </w:p>
        </w:tc>
      </w:tr>
    </w:tbl>
    <w:p w:rsidR="00C212AE" w:rsidRDefault="00C212AE" w:rsidP="00C212AE">
      <w:pPr>
        <w:spacing w:after="0" w:line="240" w:lineRule="auto"/>
        <w:jc w:val="both"/>
        <w:rPr>
          <w:sz w:val="10"/>
          <w:szCs w:val="10"/>
        </w:rPr>
      </w:pPr>
    </w:p>
    <w:p w:rsidR="00C212AE" w:rsidRDefault="00C212AE" w:rsidP="00575C67">
      <w:pPr>
        <w:spacing w:after="0" w:line="240" w:lineRule="auto"/>
        <w:jc w:val="both"/>
        <w:rPr>
          <w:sz w:val="10"/>
          <w:szCs w:val="10"/>
        </w:rPr>
      </w:pPr>
    </w:p>
    <w:p w:rsidR="00C212AE" w:rsidRDefault="00C212AE" w:rsidP="00575C67">
      <w:pPr>
        <w:spacing w:after="0" w:line="240" w:lineRule="auto"/>
        <w:jc w:val="both"/>
        <w:rPr>
          <w:sz w:val="10"/>
          <w:szCs w:val="10"/>
        </w:rPr>
      </w:pPr>
    </w:p>
    <w:p w:rsidR="00575C67" w:rsidRPr="00C212AE" w:rsidRDefault="00575C67" w:rsidP="00575C67">
      <w:pPr>
        <w:spacing w:after="0" w:line="240" w:lineRule="auto"/>
        <w:jc w:val="both"/>
        <w:rPr>
          <w:sz w:val="18"/>
        </w:rPr>
      </w:pPr>
    </w:p>
    <w:p w:rsidR="00575C67" w:rsidRPr="00C212AE" w:rsidRDefault="00575C67" w:rsidP="00575C67">
      <w:pPr>
        <w:spacing w:after="0" w:line="240" w:lineRule="auto"/>
        <w:jc w:val="both"/>
        <w:rPr>
          <w:sz w:val="18"/>
        </w:rPr>
      </w:pPr>
    </w:p>
    <w:tbl>
      <w:tblPr>
        <w:tblStyle w:val="Grilledutableau"/>
        <w:tblW w:w="0" w:type="auto"/>
        <w:tblLook w:val="04A0" w:firstRow="1" w:lastRow="0" w:firstColumn="1" w:lastColumn="0" w:noHBand="0" w:noVBand="1"/>
      </w:tblPr>
      <w:tblGrid>
        <w:gridCol w:w="1809"/>
        <w:gridCol w:w="4253"/>
        <w:gridCol w:w="4544"/>
      </w:tblGrid>
      <w:tr w:rsidR="009767AB" w:rsidRPr="0067406E" w:rsidTr="00BD5EBF">
        <w:tc>
          <w:tcPr>
            <w:tcW w:w="10606" w:type="dxa"/>
            <w:gridSpan w:val="3"/>
            <w:shd w:val="clear" w:color="auto" w:fill="D9D9D9" w:themeFill="background1" w:themeFillShade="D9"/>
          </w:tcPr>
          <w:p w:rsidR="009767AB" w:rsidRPr="0067406E" w:rsidRDefault="009767AB" w:rsidP="00BD5EBF">
            <w:pPr>
              <w:jc w:val="center"/>
              <w:rPr>
                <w:b/>
                <w:sz w:val="20"/>
                <w:szCs w:val="10"/>
              </w:rPr>
            </w:pPr>
            <w:r w:rsidRPr="0067406E">
              <w:rPr>
                <w:b/>
                <w:sz w:val="20"/>
                <w:szCs w:val="10"/>
              </w:rPr>
              <w:t>Suivi de l’action</w:t>
            </w:r>
          </w:p>
        </w:tc>
      </w:tr>
      <w:tr w:rsidR="009767AB" w:rsidRPr="0067406E" w:rsidTr="00BD5EBF">
        <w:tc>
          <w:tcPr>
            <w:tcW w:w="1809" w:type="dxa"/>
          </w:tcPr>
          <w:p w:rsidR="009767AB" w:rsidRPr="0067406E" w:rsidRDefault="009767AB" w:rsidP="00BD5EBF">
            <w:pPr>
              <w:jc w:val="both"/>
              <w:rPr>
                <w:b/>
                <w:sz w:val="20"/>
                <w:szCs w:val="10"/>
              </w:rPr>
            </w:pPr>
            <w:r w:rsidRPr="0067406E">
              <w:rPr>
                <w:b/>
                <w:sz w:val="20"/>
                <w:szCs w:val="10"/>
              </w:rPr>
              <w:t>Date</w:t>
            </w:r>
          </w:p>
        </w:tc>
        <w:tc>
          <w:tcPr>
            <w:tcW w:w="4253" w:type="dxa"/>
          </w:tcPr>
          <w:p w:rsidR="009767AB" w:rsidRDefault="009767AB" w:rsidP="00BD5EBF">
            <w:pPr>
              <w:jc w:val="both"/>
              <w:rPr>
                <w:b/>
                <w:sz w:val="20"/>
                <w:szCs w:val="10"/>
              </w:rPr>
            </w:pPr>
            <w:r w:rsidRPr="0067406E">
              <w:rPr>
                <w:b/>
                <w:sz w:val="20"/>
                <w:szCs w:val="10"/>
              </w:rPr>
              <w:t>Nature de l’évolution</w:t>
            </w:r>
          </w:p>
          <w:p w:rsidR="009767AB" w:rsidRPr="0067406E" w:rsidRDefault="009767AB" w:rsidP="00BD5EBF">
            <w:pPr>
              <w:jc w:val="both"/>
              <w:rPr>
                <w:b/>
                <w:sz w:val="20"/>
                <w:szCs w:val="10"/>
              </w:rPr>
            </w:pPr>
            <w:r w:rsidRPr="0067406E">
              <w:rPr>
                <w:sz w:val="20"/>
                <w:szCs w:val="10"/>
              </w:rPr>
              <w:t>(Actions, partenaires, cible, calendrier, etc)</w:t>
            </w:r>
          </w:p>
        </w:tc>
        <w:tc>
          <w:tcPr>
            <w:tcW w:w="4544" w:type="dxa"/>
          </w:tcPr>
          <w:p w:rsidR="009767AB" w:rsidRPr="0067406E" w:rsidRDefault="009767AB" w:rsidP="00BD5EBF">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9767AB" w:rsidTr="00BD5EBF">
        <w:tc>
          <w:tcPr>
            <w:tcW w:w="1809" w:type="dxa"/>
          </w:tcPr>
          <w:p w:rsidR="009767AB" w:rsidRDefault="009767AB" w:rsidP="00BD5EBF">
            <w:pPr>
              <w:jc w:val="both"/>
              <w:rPr>
                <w:sz w:val="16"/>
                <w:szCs w:val="10"/>
              </w:rPr>
            </w:pPr>
          </w:p>
        </w:tc>
        <w:tc>
          <w:tcPr>
            <w:tcW w:w="4253" w:type="dxa"/>
          </w:tcPr>
          <w:p w:rsidR="009767AB" w:rsidRDefault="009767AB" w:rsidP="00BD5EBF">
            <w:pPr>
              <w:jc w:val="both"/>
              <w:rPr>
                <w:sz w:val="16"/>
                <w:szCs w:val="10"/>
              </w:rPr>
            </w:pPr>
          </w:p>
        </w:tc>
        <w:tc>
          <w:tcPr>
            <w:tcW w:w="4544" w:type="dxa"/>
          </w:tcPr>
          <w:p w:rsidR="009767AB" w:rsidRDefault="009767AB" w:rsidP="00BD5EBF">
            <w:pPr>
              <w:jc w:val="both"/>
              <w:rPr>
                <w:sz w:val="16"/>
                <w:szCs w:val="10"/>
              </w:rPr>
            </w:pPr>
          </w:p>
        </w:tc>
      </w:tr>
      <w:tr w:rsidR="009767AB" w:rsidTr="00BD5EBF">
        <w:tc>
          <w:tcPr>
            <w:tcW w:w="1809" w:type="dxa"/>
          </w:tcPr>
          <w:p w:rsidR="009767AB" w:rsidRDefault="009767AB" w:rsidP="00BD5EBF">
            <w:pPr>
              <w:jc w:val="both"/>
              <w:rPr>
                <w:sz w:val="16"/>
                <w:szCs w:val="10"/>
              </w:rPr>
            </w:pPr>
          </w:p>
        </w:tc>
        <w:tc>
          <w:tcPr>
            <w:tcW w:w="4253" w:type="dxa"/>
          </w:tcPr>
          <w:p w:rsidR="009767AB" w:rsidRDefault="009767AB" w:rsidP="00BD5EBF">
            <w:pPr>
              <w:jc w:val="both"/>
              <w:rPr>
                <w:sz w:val="16"/>
                <w:szCs w:val="10"/>
              </w:rPr>
            </w:pPr>
          </w:p>
        </w:tc>
        <w:tc>
          <w:tcPr>
            <w:tcW w:w="4544" w:type="dxa"/>
          </w:tcPr>
          <w:p w:rsidR="009767AB" w:rsidRDefault="009767AB" w:rsidP="00BD5EBF">
            <w:pPr>
              <w:jc w:val="both"/>
              <w:rPr>
                <w:sz w:val="16"/>
                <w:szCs w:val="10"/>
              </w:rPr>
            </w:pPr>
          </w:p>
        </w:tc>
      </w:tr>
      <w:tr w:rsidR="009767AB" w:rsidTr="00BD5EBF">
        <w:tc>
          <w:tcPr>
            <w:tcW w:w="1809" w:type="dxa"/>
          </w:tcPr>
          <w:p w:rsidR="009767AB" w:rsidRDefault="009767AB" w:rsidP="00BD5EBF">
            <w:pPr>
              <w:jc w:val="both"/>
              <w:rPr>
                <w:sz w:val="16"/>
                <w:szCs w:val="10"/>
              </w:rPr>
            </w:pPr>
          </w:p>
        </w:tc>
        <w:tc>
          <w:tcPr>
            <w:tcW w:w="4253" w:type="dxa"/>
          </w:tcPr>
          <w:p w:rsidR="009767AB" w:rsidRDefault="009767AB" w:rsidP="00BD5EBF">
            <w:pPr>
              <w:jc w:val="both"/>
              <w:rPr>
                <w:sz w:val="16"/>
                <w:szCs w:val="10"/>
              </w:rPr>
            </w:pPr>
          </w:p>
        </w:tc>
        <w:tc>
          <w:tcPr>
            <w:tcW w:w="4544" w:type="dxa"/>
          </w:tcPr>
          <w:p w:rsidR="009767AB" w:rsidRDefault="009767AB" w:rsidP="00BD5EBF">
            <w:pPr>
              <w:jc w:val="both"/>
              <w:rPr>
                <w:sz w:val="16"/>
                <w:szCs w:val="10"/>
              </w:rPr>
            </w:pPr>
          </w:p>
        </w:tc>
      </w:tr>
    </w:tbl>
    <w:p w:rsidR="00FA5523" w:rsidRDefault="00FA5523" w:rsidP="00FA5523">
      <w:pPr>
        <w:spacing w:after="0" w:line="240" w:lineRule="auto"/>
        <w:jc w:val="both"/>
      </w:pPr>
    </w:p>
    <w:sectPr w:rsidR="00FA5523"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BF" w:rsidRDefault="00BD5EBF" w:rsidP="00FA5523">
      <w:pPr>
        <w:spacing w:after="0" w:line="240" w:lineRule="auto"/>
      </w:pPr>
      <w:r>
        <w:separator/>
      </w:r>
    </w:p>
  </w:endnote>
  <w:endnote w:type="continuationSeparator" w:id="0">
    <w:p w:rsidR="00BD5EBF" w:rsidRDefault="00BD5EBF"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23238474"/>
      <w:docPartObj>
        <w:docPartGallery w:val="Page Numbers (Bottom of Page)"/>
        <w:docPartUnique/>
      </w:docPartObj>
    </w:sdtPr>
    <w:sdtEndPr/>
    <w:sdtContent>
      <w:p w:rsidR="00BD5EBF" w:rsidRPr="00250AE5" w:rsidRDefault="00BD5EBF">
        <w:pPr>
          <w:pStyle w:val="Pieddepage"/>
          <w:jc w:val="center"/>
          <w:rPr>
            <w:sz w:val="16"/>
            <w:szCs w:val="16"/>
          </w:rPr>
        </w:pPr>
        <w:r w:rsidRPr="00250AE5">
          <w:rPr>
            <w:sz w:val="16"/>
            <w:szCs w:val="16"/>
          </w:rPr>
          <w:fldChar w:fldCharType="begin"/>
        </w:r>
        <w:r w:rsidRPr="00250AE5">
          <w:rPr>
            <w:sz w:val="16"/>
            <w:szCs w:val="16"/>
          </w:rPr>
          <w:instrText>PAGE   \* MERGEFORMAT</w:instrText>
        </w:r>
        <w:r w:rsidRPr="00250AE5">
          <w:rPr>
            <w:sz w:val="16"/>
            <w:szCs w:val="16"/>
          </w:rPr>
          <w:fldChar w:fldCharType="separate"/>
        </w:r>
        <w:r w:rsidR="003E7745">
          <w:rPr>
            <w:noProof/>
            <w:sz w:val="16"/>
            <w:szCs w:val="16"/>
          </w:rPr>
          <w:t>5</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BF" w:rsidRDefault="00BD5EBF" w:rsidP="00FA5523">
      <w:pPr>
        <w:spacing w:after="0" w:line="240" w:lineRule="auto"/>
      </w:pPr>
      <w:r>
        <w:separator/>
      </w:r>
    </w:p>
  </w:footnote>
  <w:footnote w:type="continuationSeparator" w:id="0">
    <w:p w:rsidR="00BD5EBF" w:rsidRDefault="00BD5EBF"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BF" w:rsidRPr="00FA5523" w:rsidRDefault="00E3350F">
    <w:pPr>
      <w:pStyle w:val="En-tte"/>
      <w:rPr>
        <w:sz w:val="16"/>
      </w:rPr>
    </w:pPr>
    <w:r>
      <w:rPr>
        <w:sz w:val="16"/>
      </w:rPr>
      <w:t>0</w:t>
    </w:r>
    <w:r w:rsidR="003E7745">
      <w:rPr>
        <w:sz w:val="16"/>
      </w:rPr>
      <w:t>6</w:t>
    </w:r>
    <w:r>
      <w:rPr>
        <w:sz w:val="16"/>
      </w:rPr>
      <w:t>/04</w:t>
    </w:r>
    <w:r w:rsidR="00BD5EBF" w:rsidRPr="00FA5523">
      <w:rPr>
        <w:sz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3D8"/>
    <w:multiLevelType w:val="hybridMultilevel"/>
    <w:tmpl w:val="ED4C3DCA"/>
    <w:lvl w:ilvl="0" w:tplc="BB1A6368">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2479CA"/>
    <w:multiLevelType w:val="hybridMultilevel"/>
    <w:tmpl w:val="47CA7FF6"/>
    <w:lvl w:ilvl="0" w:tplc="DDB61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B56609"/>
    <w:multiLevelType w:val="hybridMultilevel"/>
    <w:tmpl w:val="EB025A46"/>
    <w:lvl w:ilvl="0" w:tplc="4B1AB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2D2F20"/>
    <w:multiLevelType w:val="hybridMultilevel"/>
    <w:tmpl w:val="A5287FCA"/>
    <w:lvl w:ilvl="0" w:tplc="CFD25544">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BC5885"/>
    <w:multiLevelType w:val="hybridMultilevel"/>
    <w:tmpl w:val="DDBC06FE"/>
    <w:lvl w:ilvl="0" w:tplc="7A4C53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C35DD3"/>
    <w:multiLevelType w:val="hybridMultilevel"/>
    <w:tmpl w:val="8B7A5976"/>
    <w:lvl w:ilvl="0" w:tplc="649A08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790B09"/>
    <w:multiLevelType w:val="hybridMultilevel"/>
    <w:tmpl w:val="10E45F38"/>
    <w:lvl w:ilvl="0" w:tplc="4F8E6D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E09E1"/>
    <w:multiLevelType w:val="hybridMultilevel"/>
    <w:tmpl w:val="1506D386"/>
    <w:lvl w:ilvl="0" w:tplc="97B0E7DA">
      <w:numFmt w:val="bullet"/>
      <w:lvlText w:val="-"/>
      <w:lvlJc w:val="left"/>
      <w:pPr>
        <w:ind w:left="936" w:hanging="360"/>
      </w:pPr>
      <w:rPr>
        <w:rFonts w:ascii="Calibri" w:eastAsiaTheme="minorHAnsi" w:hAnsi="Calibri" w:cs="Calibri"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9">
    <w:nsid w:val="61A26172"/>
    <w:multiLevelType w:val="hybridMultilevel"/>
    <w:tmpl w:val="C2EEBB3A"/>
    <w:lvl w:ilvl="0" w:tplc="57B403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5D0FAF"/>
    <w:multiLevelType w:val="hybridMultilevel"/>
    <w:tmpl w:val="F3FCAC96"/>
    <w:lvl w:ilvl="0" w:tplc="3E62A8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95417A"/>
    <w:multiLevelType w:val="hybridMultilevel"/>
    <w:tmpl w:val="E80239EA"/>
    <w:lvl w:ilvl="0" w:tplc="30BE59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
  </w:num>
  <w:num w:numId="6">
    <w:abstractNumId w:val="6"/>
  </w:num>
  <w:num w:numId="7">
    <w:abstractNumId w:val="5"/>
  </w:num>
  <w:num w:numId="8">
    <w:abstractNumId w:val="10"/>
  </w:num>
  <w:num w:numId="9">
    <w:abstractNumId w:val="9"/>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10833"/>
    <w:rsid w:val="00023BE8"/>
    <w:rsid w:val="00026D50"/>
    <w:rsid w:val="00067A17"/>
    <w:rsid w:val="00075E15"/>
    <w:rsid w:val="0008579F"/>
    <w:rsid w:val="000C67EA"/>
    <w:rsid w:val="000C762E"/>
    <w:rsid w:val="000D6D3F"/>
    <w:rsid w:val="000F003E"/>
    <w:rsid w:val="000F3869"/>
    <w:rsid w:val="00102327"/>
    <w:rsid w:val="00117578"/>
    <w:rsid w:val="00153D1C"/>
    <w:rsid w:val="0016483E"/>
    <w:rsid w:val="00166388"/>
    <w:rsid w:val="00171C31"/>
    <w:rsid w:val="00175BE9"/>
    <w:rsid w:val="001811B0"/>
    <w:rsid w:val="0018228B"/>
    <w:rsid w:val="001A68CC"/>
    <w:rsid w:val="001B6E3D"/>
    <w:rsid w:val="001C1628"/>
    <w:rsid w:val="00200F24"/>
    <w:rsid w:val="002023F6"/>
    <w:rsid w:val="00203531"/>
    <w:rsid w:val="00204305"/>
    <w:rsid w:val="00250AE5"/>
    <w:rsid w:val="002571C0"/>
    <w:rsid w:val="0026351F"/>
    <w:rsid w:val="00272155"/>
    <w:rsid w:val="002A37F9"/>
    <w:rsid w:val="002F1441"/>
    <w:rsid w:val="003071F6"/>
    <w:rsid w:val="0031013E"/>
    <w:rsid w:val="00343FA9"/>
    <w:rsid w:val="00350442"/>
    <w:rsid w:val="00364F01"/>
    <w:rsid w:val="00372D8B"/>
    <w:rsid w:val="003835EE"/>
    <w:rsid w:val="00392723"/>
    <w:rsid w:val="003E7230"/>
    <w:rsid w:val="003E7745"/>
    <w:rsid w:val="003F44B5"/>
    <w:rsid w:val="00433BA7"/>
    <w:rsid w:val="00450FD9"/>
    <w:rsid w:val="0045297F"/>
    <w:rsid w:val="00463332"/>
    <w:rsid w:val="00472970"/>
    <w:rsid w:val="00476664"/>
    <w:rsid w:val="004952BB"/>
    <w:rsid w:val="004A1AD6"/>
    <w:rsid w:val="004C6FA9"/>
    <w:rsid w:val="00503514"/>
    <w:rsid w:val="00513322"/>
    <w:rsid w:val="0052037E"/>
    <w:rsid w:val="00521E9E"/>
    <w:rsid w:val="00565067"/>
    <w:rsid w:val="00566AFF"/>
    <w:rsid w:val="0057559A"/>
    <w:rsid w:val="00575C67"/>
    <w:rsid w:val="00575F82"/>
    <w:rsid w:val="005936DE"/>
    <w:rsid w:val="0059641B"/>
    <w:rsid w:val="005A0AA7"/>
    <w:rsid w:val="005A444E"/>
    <w:rsid w:val="005C5D01"/>
    <w:rsid w:val="005D417D"/>
    <w:rsid w:val="005E6F65"/>
    <w:rsid w:val="00622051"/>
    <w:rsid w:val="00624888"/>
    <w:rsid w:val="006660A8"/>
    <w:rsid w:val="00687C39"/>
    <w:rsid w:val="006B3580"/>
    <w:rsid w:val="006B5EF4"/>
    <w:rsid w:val="006B5FFC"/>
    <w:rsid w:val="006D1F77"/>
    <w:rsid w:val="006D4614"/>
    <w:rsid w:val="006E3B1D"/>
    <w:rsid w:val="006F4487"/>
    <w:rsid w:val="006F7FAF"/>
    <w:rsid w:val="007623C4"/>
    <w:rsid w:val="007638AE"/>
    <w:rsid w:val="00763AA4"/>
    <w:rsid w:val="00781B56"/>
    <w:rsid w:val="0078268A"/>
    <w:rsid w:val="00784B0F"/>
    <w:rsid w:val="007A50D9"/>
    <w:rsid w:val="007B4623"/>
    <w:rsid w:val="007C27FE"/>
    <w:rsid w:val="007D09E9"/>
    <w:rsid w:val="007D17EB"/>
    <w:rsid w:val="007E10E7"/>
    <w:rsid w:val="007E27D9"/>
    <w:rsid w:val="007E2845"/>
    <w:rsid w:val="007E660E"/>
    <w:rsid w:val="007F1153"/>
    <w:rsid w:val="007F534C"/>
    <w:rsid w:val="007F5C70"/>
    <w:rsid w:val="00811742"/>
    <w:rsid w:val="00812FB3"/>
    <w:rsid w:val="008222CF"/>
    <w:rsid w:val="0083406E"/>
    <w:rsid w:val="00846556"/>
    <w:rsid w:val="00865D1A"/>
    <w:rsid w:val="00891950"/>
    <w:rsid w:val="008943F6"/>
    <w:rsid w:val="008956B0"/>
    <w:rsid w:val="008A0969"/>
    <w:rsid w:val="008A2646"/>
    <w:rsid w:val="008A3321"/>
    <w:rsid w:val="008B0FB1"/>
    <w:rsid w:val="008E29E4"/>
    <w:rsid w:val="009035E9"/>
    <w:rsid w:val="00903919"/>
    <w:rsid w:val="0090462B"/>
    <w:rsid w:val="00904855"/>
    <w:rsid w:val="00910B58"/>
    <w:rsid w:val="00930D9E"/>
    <w:rsid w:val="00947E41"/>
    <w:rsid w:val="00953A91"/>
    <w:rsid w:val="00963492"/>
    <w:rsid w:val="009643B4"/>
    <w:rsid w:val="009767AB"/>
    <w:rsid w:val="00980083"/>
    <w:rsid w:val="00980274"/>
    <w:rsid w:val="00984F7D"/>
    <w:rsid w:val="00987FCB"/>
    <w:rsid w:val="00991DBA"/>
    <w:rsid w:val="009A27F1"/>
    <w:rsid w:val="009B04C3"/>
    <w:rsid w:val="009C687B"/>
    <w:rsid w:val="00A10993"/>
    <w:rsid w:val="00A10CCD"/>
    <w:rsid w:val="00A13E1B"/>
    <w:rsid w:val="00A66B7F"/>
    <w:rsid w:val="00AC3B35"/>
    <w:rsid w:val="00B07F20"/>
    <w:rsid w:val="00B12BCA"/>
    <w:rsid w:val="00B1702B"/>
    <w:rsid w:val="00B26A38"/>
    <w:rsid w:val="00B33890"/>
    <w:rsid w:val="00B5447E"/>
    <w:rsid w:val="00B657B3"/>
    <w:rsid w:val="00B71547"/>
    <w:rsid w:val="00B905AB"/>
    <w:rsid w:val="00B93549"/>
    <w:rsid w:val="00BC1585"/>
    <w:rsid w:val="00BD5EBF"/>
    <w:rsid w:val="00BD6F57"/>
    <w:rsid w:val="00BF729D"/>
    <w:rsid w:val="00C11F29"/>
    <w:rsid w:val="00C212AE"/>
    <w:rsid w:val="00C2463F"/>
    <w:rsid w:val="00C343DC"/>
    <w:rsid w:val="00C37AF1"/>
    <w:rsid w:val="00C45DF1"/>
    <w:rsid w:val="00C46131"/>
    <w:rsid w:val="00C71FCA"/>
    <w:rsid w:val="00C800BB"/>
    <w:rsid w:val="00C92D6E"/>
    <w:rsid w:val="00C9325A"/>
    <w:rsid w:val="00C96EEF"/>
    <w:rsid w:val="00CA0546"/>
    <w:rsid w:val="00CA1342"/>
    <w:rsid w:val="00CA1FA5"/>
    <w:rsid w:val="00CA2894"/>
    <w:rsid w:val="00CA6CE6"/>
    <w:rsid w:val="00CB2B3D"/>
    <w:rsid w:val="00CB524C"/>
    <w:rsid w:val="00CC12B2"/>
    <w:rsid w:val="00CD351E"/>
    <w:rsid w:val="00CF22D3"/>
    <w:rsid w:val="00CF383E"/>
    <w:rsid w:val="00CF3892"/>
    <w:rsid w:val="00D0769B"/>
    <w:rsid w:val="00D115C9"/>
    <w:rsid w:val="00D144B2"/>
    <w:rsid w:val="00D41F73"/>
    <w:rsid w:val="00D5799A"/>
    <w:rsid w:val="00D6452B"/>
    <w:rsid w:val="00D8502B"/>
    <w:rsid w:val="00D9519A"/>
    <w:rsid w:val="00DA272F"/>
    <w:rsid w:val="00DD78AB"/>
    <w:rsid w:val="00E14854"/>
    <w:rsid w:val="00E20CBF"/>
    <w:rsid w:val="00E3350F"/>
    <w:rsid w:val="00E667E9"/>
    <w:rsid w:val="00E81BE1"/>
    <w:rsid w:val="00E82CCF"/>
    <w:rsid w:val="00E82EF5"/>
    <w:rsid w:val="00EA1AC6"/>
    <w:rsid w:val="00EB104C"/>
    <w:rsid w:val="00EC0257"/>
    <w:rsid w:val="00ED00EC"/>
    <w:rsid w:val="00ED4D17"/>
    <w:rsid w:val="00EE3E3B"/>
    <w:rsid w:val="00EF1634"/>
    <w:rsid w:val="00F413CF"/>
    <w:rsid w:val="00F66CAC"/>
    <w:rsid w:val="00F82371"/>
    <w:rsid w:val="00F83FE6"/>
    <w:rsid w:val="00F9542C"/>
    <w:rsid w:val="00FA5523"/>
    <w:rsid w:val="00FB603E"/>
    <w:rsid w:val="00FC6A8F"/>
    <w:rsid w:val="00FD2520"/>
    <w:rsid w:val="00FD4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2070</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7</cp:revision>
  <cp:lastPrinted>2016-12-02T15:18:00Z</cp:lastPrinted>
  <dcterms:created xsi:type="dcterms:W3CDTF">2017-04-04T10:13:00Z</dcterms:created>
  <dcterms:modified xsi:type="dcterms:W3CDTF">2017-04-07T05:36:00Z</dcterms:modified>
</cp:coreProperties>
</file>